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4"/>
        <w:spacing w:before="0" w:after="0"/>
        <w:rPr>
          <w:rFonts w:ascii="宋体" w:hAnsi="宋体"/>
          <w:sz w:val="28"/>
          <w:szCs w:val="28"/>
        </w:rPr>
      </w:pPr>
      <w:bookmarkStart w:id="0" w:name="_GoBack"/>
      <w:bookmarkEnd w:id="0"/>
      <w:r>
        <w:rPr>
          <w:rFonts w:hint="eastAsia" w:asciiTheme="minorEastAsia" w:hAnsiTheme="minorEastAsia" w:eastAsiaTheme="minorEastAsia"/>
        </w:rPr>
        <w:t>参加市场调研提交材料要求</w:t>
      </w:r>
    </w:p>
    <w:p>
      <w:pPr>
        <w:jc w:val="center"/>
        <w:outlineLvl w:val="0"/>
        <w:rPr>
          <w:rFonts w:ascii="宋体" w:hAnsi="宋体"/>
        </w:rPr>
      </w:pPr>
      <w:r>
        <w:rPr>
          <w:rFonts w:hint="eastAsia" w:ascii="宋体" w:hAnsi="宋体"/>
          <w:b/>
          <w:szCs w:val="21"/>
        </w:rPr>
        <w:t>附件</w:t>
      </w:r>
      <w:r>
        <w:rPr>
          <w:rFonts w:ascii="宋体" w:hAnsi="宋体"/>
          <w:b/>
          <w:szCs w:val="21"/>
        </w:rPr>
        <w:t xml:space="preserve">1  </w:t>
      </w:r>
      <w:r>
        <w:rPr>
          <w:rFonts w:hint="eastAsia" w:ascii="宋体" w:hAnsi="宋体"/>
          <w:b/>
          <w:szCs w:val="21"/>
        </w:rPr>
        <w:t>项目报价书</w:t>
      </w:r>
      <w:r>
        <w:rPr>
          <w:rFonts w:ascii="宋体" w:hAnsi="宋体"/>
          <w:b/>
          <w:szCs w:val="21"/>
        </w:rPr>
        <w:br w:type="textWrapping"/>
      </w:r>
    </w:p>
    <w:p>
      <w:pPr>
        <w:spacing w:line="360" w:lineRule="auto"/>
        <w:rPr>
          <w:rFonts w:ascii="宋体" w:hAnsi="宋体" w:cs="Arial"/>
          <w:szCs w:val="21"/>
        </w:rPr>
      </w:pPr>
      <w:r>
        <w:rPr>
          <w:rFonts w:hint="eastAsia" w:ascii="宋体" w:hAnsi="宋体" w:cs="Arial"/>
          <w:szCs w:val="21"/>
        </w:rPr>
        <w:t>致：广州医科大学附属番禺区中心医院</w:t>
      </w:r>
    </w:p>
    <w:p>
      <w:pPr>
        <w:spacing w:line="360" w:lineRule="auto"/>
        <w:ind w:firstLine="420"/>
        <w:rPr>
          <w:rFonts w:ascii="宋体" w:hAnsi="宋体" w:cs="Arial"/>
          <w:szCs w:val="21"/>
        </w:rPr>
      </w:pPr>
      <w:r>
        <w:rPr>
          <w:rFonts w:ascii="宋体" w:hAnsi="宋体" w:cs="Arial"/>
          <w:szCs w:val="21"/>
        </w:rPr>
        <w:t xml:space="preserve"> </w:t>
      </w:r>
    </w:p>
    <w:p>
      <w:pPr>
        <w:spacing w:line="360" w:lineRule="auto"/>
        <w:ind w:firstLine="420" w:firstLineChars="200"/>
        <w:rPr>
          <w:rFonts w:ascii="宋体" w:hAnsi="宋体" w:cs="Arial"/>
          <w:szCs w:val="21"/>
        </w:rPr>
      </w:pPr>
      <w:r>
        <w:rPr>
          <w:rFonts w:hint="eastAsia" w:ascii="宋体" w:hAnsi="宋体" w:cs="Arial"/>
          <w:szCs w:val="21"/>
        </w:rPr>
        <w:t>根据贵方发布的《广医附属番禺中心医院智慧无线及骨干网络改造一期项目》市场价格调研，本人代表供应商</w:t>
      </w:r>
      <w:r>
        <w:rPr>
          <w:rFonts w:ascii="宋体" w:hAnsi="宋体" w:cs="Arial"/>
          <w:szCs w:val="21"/>
        </w:rPr>
        <w:t xml:space="preserve"> </w:t>
      </w:r>
      <w:r>
        <w:rPr>
          <w:rFonts w:ascii="宋体" w:hAnsi="宋体" w:cs="Arial"/>
          <w:szCs w:val="21"/>
          <w:u w:val="single"/>
        </w:rPr>
        <w:t xml:space="preserve">    </w:t>
      </w:r>
      <w:r>
        <w:rPr>
          <w:rFonts w:hint="eastAsia" w:ascii="宋体" w:hAnsi="宋体" w:cs="Arial"/>
          <w:szCs w:val="21"/>
          <w:u w:val="single"/>
        </w:rPr>
        <w:t xml:space="preserve">        </w:t>
      </w:r>
      <w:r>
        <w:rPr>
          <w:rFonts w:hint="eastAsia" w:ascii="宋体" w:hAnsi="宋体" w:cs="Arial"/>
          <w:szCs w:val="21"/>
        </w:rPr>
        <w:t>（供应商名称）参加市场价格调研，并提交方案及</w:t>
      </w:r>
      <w:r>
        <w:rPr>
          <w:rFonts w:ascii="宋体" w:hAnsi="宋体" w:cs="Arial"/>
          <w:szCs w:val="21"/>
        </w:rPr>
        <w:t>报价</w:t>
      </w:r>
      <w:r>
        <w:rPr>
          <w:rFonts w:hint="eastAsia" w:ascii="宋体" w:hAnsi="宋体" w:cs="Arial"/>
          <w:szCs w:val="21"/>
        </w:rPr>
        <w:t>文件。</w:t>
      </w:r>
    </w:p>
    <w:p>
      <w:pPr>
        <w:spacing w:line="360" w:lineRule="auto"/>
        <w:ind w:firstLine="840" w:firstLineChars="400"/>
        <w:rPr>
          <w:rFonts w:ascii="宋体" w:hAnsi="宋体" w:cs="Arial"/>
          <w:szCs w:val="21"/>
        </w:rPr>
      </w:pPr>
      <w:r>
        <w:rPr>
          <w:rFonts w:hint="eastAsia" w:ascii="宋体" w:hAnsi="宋体" w:cs="Arial"/>
          <w:szCs w:val="21"/>
        </w:rPr>
        <w:t>据此函，本人宣布同意如下：</w:t>
      </w:r>
    </w:p>
    <w:p>
      <w:pPr>
        <w:spacing w:line="360" w:lineRule="auto"/>
        <w:rPr>
          <w:rFonts w:ascii="宋体" w:hAnsi="宋体" w:cs="Arial"/>
          <w:szCs w:val="21"/>
        </w:rPr>
      </w:pPr>
      <w:r>
        <w:rPr>
          <w:rFonts w:ascii="宋体" w:hAnsi="宋体" w:cs="Arial"/>
          <w:szCs w:val="21"/>
        </w:rPr>
        <w:t>1</w:t>
      </w:r>
      <w:r>
        <w:rPr>
          <w:rFonts w:hint="eastAsia" w:ascii="宋体" w:hAnsi="宋体" w:cs="Arial"/>
          <w:szCs w:val="21"/>
        </w:rPr>
        <w:t>．本项目提供和交付的系统总价为：</w:t>
      </w:r>
    </w:p>
    <w:p>
      <w:pPr>
        <w:spacing w:line="360" w:lineRule="auto"/>
        <w:rPr>
          <w:rFonts w:ascii="宋体" w:hAnsi="宋体" w:cs="Arial"/>
          <w:szCs w:val="21"/>
        </w:rPr>
      </w:pPr>
      <w:r>
        <w:rPr>
          <w:rFonts w:ascii="宋体" w:hAnsi="宋体" w:cs="Arial"/>
          <w:szCs w:val="21"/>
        </w:rPr>
        <w:t xml:space="preserve">   </w:t>
      </w:r>
      <w:r>
        <w:rPr>
          <w:rFonts w:ascii="宋体" w:hAnsi="宋体" w:cs="Arial"/>
          <w:szCs w:val="21"/>
          <w:u w:val="single"/>
        </w:rPr>
        <w:t xml:space="preserve">                </w:t>
      </w:r>
      <w:r>
        <w:rPr>
          <w:rFonts w:hint="eastAsia" w:ascii="宋体" w:hAnsi="宋体" w:cs="Arial"/>
          <w:szCs w:val="21"/>
        </w:rPr>
        <w:t>（人民币），</w:t>
      </w:r>
      <w:r>
        <w:rPr>
          <w:rFonts w:ascii="宋体" w:hAnsi="宋体" w:cs="Arial"/>
          <w:szCs w:val="21"/>
          <w:u w:val="single"/>
        </w:rPr>
        <w:t xml:space="preserve">                                  </w:t>
      </w:r>
      <w:r>
        <w:rPr>
          <w:rFonts w:hint="eastAsia" w:ascii="宋体" w:hAnsi="宋体" w:cs="Arial"/>
          <w:szCs w:val="21"/>
        </w:rPr>
        <w:t>（大写）。</w:t>
      </w:r>
    </w:p>
    <w:p>
      <w:pPr>
        <w:spacing w:line="360" w:lineRule="auto"/>
        <w:rPr>
          <w:rFonts w:ascii="宋体" w:hAnsi="宋体" w:cs="Arial"/>
          <w:szCs w:val="21"/>
        </w:rPr>
      </w:pPr>
      <w:r>
        <w:rPr>
          <w:rFonts w:ascii="宋体" w:hAnsi="宋体" w:cs="Arial"/>
          <w:szCs w:val="21"/>
        </w:rPr>
        <w:t>2</w:t>
      </w:r>
      <w:r>
        <w:rPr>
          <w:rFonts w:hint="eastAsia" w:ascii="宋体" w:hAnsi="宋体" w:cs="Arial"/>
          <w:szCs w:val="21"/>
        </w:rPr>
        <w:t>．我方郑重承诺：我方同意贵方有权要求我方按照方案文件的要求提供货物和服务。</w:t>
      </w:r>
      <w:r>
        <w:rPr>
          <w:rFonts w:ascii="宋体" w:hAnsi="宋体" w:cs="Arial"/>
          <w:szCs w:val="21"/>
        </w:rPr>
        <w:t xml:space="preserve"> </w:t>
      </w:r>
    </w:p>
    <w:p>
      <w:pPr>
        <w:spacing w:line="360" w:lineRule="auto"/>
        <w:rPr>
          <w:rFonts w:ascii="宋体" w:hAnsi="宋体" w:cs="Arial"/>
          <w:szCs w:val="21"/>
        </w:rPr>
      </w:pPr>
      <w:r>
        <w:rPr>
          <w:rFonts w:ascii="宋体" w:hAnsi="宋体" w:cs="Arial"/>
          <w:szCs w:val="21"/>
        </w:rPr>
        <w:t>3</w:t>
      </w:r>
      <w:r>
        <w:rPr>
          <w:rFonts w:hint="eastAsia" w:ascii="宋体" w:hAnsi="宋体" w:cs="Arial"/>
          <w:szCs w:val="21"/>
        </w:rPr>
        <w:t>．我方的方案报价文件自截止之日起有效期为1年。</w:t>
      </w:r>
    </w:p>
    <w:p>
      <w:pPr>
        <w:spacing w:line="360" w:lineRule="auto"/>
        <w:rPr>
          <w:rFonts w:ascii="宋体" w:hAnsi="宋体" w:cs="Arial"/>
          <w:szCs w:val="21"/>
        </w:rPr>
      </w:pPr>
      <w:r>
        <w:rPr>
          <w:rFonts w:ascii="宋体" w:hAnsi="宋体" w:cs="Arial"/>
          <w:szCs w:val="21"/>
        </w:rPr>
        <w:t>4</w:t>
      </w:r>
      <w:r>
        <w:rPr>
          <w:rFonts w:hint="eastAsia" w:ascii="宋体" w:hAnsi="宋体" w:cs="Arial"/>
          <w:szCs w:val="21"/>
        </w:rPr>
        <w:t>．我方同意提供按照贵方可能要求的与我方市场价格调研有关的一切数据或资料，理解贵方不一定要接受最低价的报价或收到的任何报价。</w:t>
      </w:r>
    </w:p>
    <w:p>
      <w:pPr>
        <w:spacing w:line="360" w:lineRule="auto"/>
        <w:rPr>
          <w:rFonts w:ascii="宋体" w:hAnsi="宋体" w:cs="Arial"/>
          <w:szCs w:val="21"/>
        </w:rPr>
      </w:pPr>
      <w:r>
        <w:rPr>
          <w:rFonts w:ascii="宋体" w:hAnsi="宋体" w:cs="Arial"/>
          <w:szCs w:val="21"/>
        </w:rPr>
        <w:t>5</w:t>
      </w:r>
      <w:r>
        <w:rPr>
          <w:rFonts w:hint="eastAsia" w:ascii="宋体" w:hAnsi="宋体" w:cs="Arial"/>
          <w:szCs w:val="21"/>
        </w:rPr>
        <w:t>．与本谈判有关的一切正式往来通讯请寄：</w:t>
      </w:r>
    </w:p>
    <w:p>
      <w:pPr>
        <w:spacing w:line="360" w:lineRule="auto"/>
        <w:rPr>
          <w:rFonts w:ascii="宋体" w:hAnsi="宋体" w:cs="Arial"/>
          <w:szCs w:val="21"/>
        </w:rPr>
      </w:pPr>
    </w:p>
    <w:p>
      <w:pPr>
        <w:spacing w:line="360" w:lineRule="auto"/>
        <w:rPr>
          <w:rFonts w:ascii="宋体" w:hAnsi="宋体" w:cs="Arial"/>
          <w:szCs w:val="21"/>
        </w:rPr>
      </w:pPr>
    </w:p>
    <w:p>
      <w:pPr>
        <w:spacing w:line="360" w:lineRule="auto"/>
        <w:ind w:firstLine="420"/>
        <w:rPr>
          <w:rFonts w:ascii="宋体" w:hAnsi="宋体" w:cs="Arial"/>
          <w:szCs w:val="21"/>
        </w:rPr>
      </w:pPr>
      <w:r>
        <w:rPr>
          <w:rFonts w:hint="eastAsia" w:ascii="宋体" w:hAnsi="宋体" w:cs="Arial"/>
          <w:szCs w:val="21"/>
        </w:rPr>
        <w:t>地址：</w:t>
      </w:r>
      <w:r>
        <w:rPr>
          <w:rFonts w:ascii="宋体" w:hAnsi="宋体" w:cs="Arial"/>
          <w:szCs w:val="21"/>
        </w:rPr>
        <w:tab/>
      </w:r>
      <w:r>
        <w:rPr>
          <w:rFonts w:ascii="宋体" w:hAnsi="宋体" w:cs="Arial"/>
          <w:szCs w:val="21"/>
        </w:rPr>
        <w:t xml:space="preserve">           </w:t>
      </w:r>
      <w:r>
        <w:rPr>
          <w:rFonts w:ascii="宋体" w:hAnsi="宋体" w:cs="Arial"/>
          <w:szCs w:val="21"/>
        </w:rPr>
        <w:tab/>
      </w:r>
      <w:r>
        <w:rPr>
          <w:rFonts w:ascii="宋体" w:hAnsi="宋体" w:cs="Arial"/>
          <w:szCs w:val="21"/>
        </w:rPr>
        <w:tab/>
      </w:r>
      <w:r>
        <w:rPr>
          <w:rFonts w:ascii="宋体" w:hAnsi="宋体" w:cs="Arial"/>
          <w:szCs w:val="21"/>
        </w:rPr>
        <w:t xml:space="preserve">             </w:t>
      </w:r>
      <w:r>
        <w:rPr>
          <w:rFonts w:hint="eastAsia" w:ascii="宋体" w:hAnsi="宋体" w:cs="Arial"/>
          <w:szCs w:val="21"/>
        </w:rPr>
        <w:t xml:space="preserve">      邮编：</w:t>
      </w:r>
    </w:p>
    <w:p>
      <w:pPr>
        <w:spacing w:line="360" w:lineRule="auto"/>
        <w:ind w:firstLine="420"/>
        <w:rPr>
          <w:rFonts w:ascii="宋体" w:hAnsi="宋体" w:cs="Arial"/>
          <w:szCs w:val="21"/>
        </w:rPr>
      </w:pPr>
      <w:r>
        <w:rPr>
          <w:rFonts w:hint="eastAsia" w:ascii="宋体" w:hAnsi="宋体" w:cs="Arial"/>
          <w:szCs w:val="21"/>
        </w:rPr>
        <w:t>办公电话：</w:t>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 xml:space="preserve">   </w:t>
      </w:r>
      <w:r>
        <w:rPr>
          <w:rFonts w:hint="eastAsia" w:ascii="宋体" w:hAnsi="宋体" w:cs="Arial"/>
          <w:szCs w:val="21"/>
        </w:rPr>
        <w:t>传真：</w:t>
      </w:r>
      <w:r>
        <w:rPr>
          <w:rFonts w:ascii="宋体" w:hAnsi="宋体" w:cs="Arial"/>
          <w:szCs w:val="21"/>
        </w:rPr>
        <w:t xml:space="preserve">                    </w:t>
      </w:r>
    </w:p>
    <w:p>
      <w:pPr>
        <w:spacing w:line="360" w:lineRule="auto"/>
        <w:ind w:firstLine="420"/>
        <w:rPr>
          <w:rFonts w:ascii="宋体" w:hAnsi="宋体" w:cs="Arial"/>
          <w:szCs w:val="21"/>
        </w:rPr>
      </w:pPr>
      <w:r>
        <w:rPr>
          <w:rFonts w:hint="eastAsia" w:ascii="宋体" w:hAnsi="宋体" w:cs="Arial"/>
          <w:szCs w:val="21"/>
        </w:rPr>
        <w:t>供应商法定代表人姓名、职务（印刷体）：</w:t>
      </w:r>
    </w:p>
    <w:p>
      <w:pPr>
        <w:spacing w:line="360" w:lineRule="auto"/>
        <w:ind w:firstLine="420"/>
        <w:rPr>
          <w:rFonts w:ascii="宋体" w:hAnsi="宋体" w:cs="Arial"/>
          <w:szCs w:val="21"/>
        </w:rPr>
      </w:pPr>
      <w:r>
        <w:rPr>
          <w:rFonts w:hint="eastAsia" w:ascii="宋体" w:hAnsi="宋体" w:cs="Arial"/>
          <w:szCs w:val="21"/>
        </w:rPr>
        <w:t>移动电话：</w:t>
      </w:r>
    </w:p>
    <w:p>
      <w:pPr>
        <w:spacing w:line="360" w:lineRule="auto"/>
        <w:ind w:firstLine="420"/>
        <w:rPr>
          <w:rFonts w:ascii="宋体" w:hAnsi="宋体" w:cs="Arial"/>
          <w:szCs w:val="21"/>
        </w:rPr>
      </w:pPr>
      <w:r>
        <w:rPr>
          <w:rFonts w:hint="eastAsia" w:ascii="宋体" w:hAnsi="宋体" w:cs="Arial"/>
          <w:szCs w:val="21"/>
        </w:rPr>
        <w:t>供应商名称：（公章）</w:t>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ab/>
      </w:r>
      <w:r>
        <w:rPr>
          <w:rFonts w:ascii="宋体" w:hAnsi="宋体" w:cs="Arial"/>
          <w:szCs w:val="21"/>
        </w:rPr>
        <w:t xml:space="preserve">               202  </w:t>
      </w:r>
      <w:r>
        <w:rPr>
          <w:rFonts w:hint="eastAsia" w:ascii="宋体" w:hAnsi="宋体" w:cs="Arial"/>
          <w:szCs w:val="21"/>
        </w:rPr>
        <w:t>年</w:t>
      </w:r>
      <w:r>
        <w:rPr>
          <w:rFonts w:ascii="宋体" w:hAnsi="宋体" w:cs="Arial"/>
          <w:szCs w:val="21"/>
        </w:rPr>
        <w:t xml:space="preserve">   </w:t>
      </w:r>
      <w:r>
        <w:rPr>
          <w:rFonts w:hint="eastAsia" w:ascii="宋体" w:hAnsi="宋体" w:cs="Arial"/>
          <w:szCs w:val="21"/>
        </w:rPr>
        <w:t>月</w:t>
      </w:r>
      <w:r>
        <w:rPr>
          <w:rFonts w:ascii="宋体" w:hAnsi="宋体" w:cs="Arial"/>
          <w:szCs w:val="21"/>
        </w:rPr>
        <w:t xml:space="preserve">    </w:t>
      </w:r>
      <w:r>
        <w:rPr>
          <w:rFonts w:hint="eastAsia" w:ascii="宋体" w:hAnsi="宋体" w:cs="Arial"/>
          <w:szCs w:val="21"/>
        </w:rPr>
        <w:t>日</w:t>
      </w:r>
    </w:p>
    <w:p>
      <w:pPr>
        <w:spacing w:line="360" w:lineRule="auto"/>
        <w:ind w:firstLine="420"/>
        <w:rPr>
          <w:rFonts w:ascii="宋体" w:hAnsi="宋体" w:cs="Arial"/>
          <w:szCs w:val="21"/>
        </w:rPr>
      </w:pPr>
    </w:p>
    <w:p>
      <w:pPr>
        <w:spacing w:line="360" w:lineRule="auto"/>
        <w:ind w:firstLine="420"/>
        <w:rPr>
          <w:rFonts w:ascii="宋体" w:hAnsi="宋体" w:cs="Arial"/>
          <w:szCs w:val="21"/>
        </w:rPr>
      </w:pPr>
    </w:p>
    <w:p>
      <w:pPr>
        <w:spacing w:line="360" w:lineRule="auto"/>
        <w:ind w:firstLine="420"/>
        <w:rPr>
          <w:rFonts w:ascii="宋体" w:hAnsi="宋体" w:cs="Arial"/>
          <w:szCs w:val="21"/>
        </w:rPr>
      </w:pPr>
    </w:p>
    <w:p>
      <w:pPr>
        <w:spacing w:line="360" w:lineRule="auto"/>
        <w:ind w:firstLine="420"/>
        <w:rPr>
          <w:rFonts w:ascii="宋体" w:hAnsi="宋体" w:cs="Arial"/>
          <w:szCs w:val="21"/>
        </w:rPr>
      </w:pPr>
    </w:p>
    <w:p>
      <w:pPr>
        <w:spacing w:line="360" w:lineRule="auto"/>
        <w:ind w:firstLine="420"/>
        <w:rPr>
          <w:rFonts w:ascii="宋体" w:hAnsi="宋体" w:cs="Arial"/>
          <w:szCs w:val="21"/>
        </w:rPr>
      </w:pPr>
    </w:p>
    <w:p>
      <w:pPr>
        <w:spacing w:line="360" w:lineRule="auto"/>
        <w:ind w:firstLine="420"/>
        <w:rPr>
          <w:rFonts w:ascii="宋体" w:hAnsi="宋体" w:cs="Arial"/>
          <w:szCs w:val="21"/>
        </w:rPr>
      </w:pPr>
    </w:p>
    <w:p>
      <w:pPr>
        <w:spacing w:line="360" w:lineRule="auto"/>
        <w:ind w:firstLine="420"/>
        <w:rPr>
          <w:rFonts w:ascii="宋体" w:hAnsi="宋体" w:cs="Arial"/>
          <w:szCs w:val="21"/>
        </w:rPr>
      </w:pPr>
    </w:p>
    <w:p>
      <w:pPr>
        <w:spacing w:line="360" w:lineRule="auto"/>
        <w:ind w:firstLine="420"/>
        <w:rPr>
          <w:rFonts w:ascii="宋体" w:hAnsi="宋体" w:cs="Arial"/>
          <w:szCs w:val="21"/>
        </w:rPr>
      </w:pPr>
    </w:p>
    <w:p>
      <w:pPr>
        <w:spacing w:line="360" w:lineRule="auto"/>
        <w:ind w:firstLine="420"/>
        <w:rPr>
          <w:rFonts w:ascii="宋体" w:hAnsi="宋体" w:cs="Arial"/>
          <w:szCs w:val="21"/>
        </w:rPr>
      </w:pPr>
    </w:p>
    <w:p>
      <w:pPr>
        <w:pStyle w:val="2"/>
        <w:keepNext w:val="0"/>
        <w:keepLines w:val="0"/>
        <w:spacing w:before="0" w:after="0"/>
        <w:rPr>
          <w:rFonts w:ascii="宋体" w:hAnsi="宋体" w:cs="Arial"/>
          <w:b w:val="0"/>
          <w:bCs w:val="0"/>
          <w:kern w:val="2"/>
          <w:sz w:val="21"/>
          <w:szCs w:val="21"/>
        </w:rPr>
      </w:pPr>
      <w:r>
        <w:rPr>
          <w:rFonts w:hint="eastAsia" w:ascii="宋体" w:hAnsi="宋体"/>
          <w:b w:val="0"/>
          <w:kern w:val="2"/>
          <w:sz w:val="21"/>
          <w:szCs w:val="21"/>
        </w:rPr>
        <w:t>附件2  授权委托书</w:t>
      </w:r>
    </w:p>
    <w:p>
      <w:pPr>
        <w:spacing w:line="360" w:lineRule="auto"/>
        <w:ind w:firstLine="539" w:firstLineChars="257"/>
        <w:rPr>
          <w:rFonts w:ascii="宋体" w:hAnsi="宋体" w:cs="Arial"/>
          <w:szCs w:val="24"/>
        </w:rPr>
      </w:pPr>
    </w:p>
    <w:p>
      <w:pPr>
        <w:spacing w:line="360" w:lineRule="auto"/>
        <w:ind w:firstLine="539" w:firstLineChars="257"/>
        <w:rPr>
          <w:rFonts w:ascii="宋体" w:hAnsi="宋体" w:cs="Arial"/>
        </w:rPr>
      </w:pPr>
      <w:r>
        <w:rPr>
          <w:rFonts w:hint="eastAsia" w:ascii="宋体" w:hAnsi="宋体" w:cs="Arial"/>
        </w:rPr>
        <w:t>委托人（供应商）：</w:t>
      </w:r>
      <w:r>
        <w:rPr>
          <w:rFonts w:ascii="宋体" w:hAnsi="宋体" w:cs="Arial"/>
          <w:u w:val="single"/>
        </w:rPr>
        <w:t xml:space="preserve">                         </w:t>
      </w:r>
      <w:r>
        <w:rPr>
          <w:rFonts w:hint="eastAsia" w:ascii="宋体" w:hAnsi="宋体" w:cs="Arial"/>
        </w:rPr>
        <w:t>（供应商名称）。</w:t>
      </w:r>
      <w:r>
        <w:rPr>
          <w:rFonts w:ascii="宋体" w:hAnsi="宋体" w:cs="Arial"/>
        </w:rPr>
        <w:t xml:space="preserve"> </w:t>
      </w:r>
    </w:p>
    <w:p>
      <w:pPr>
        <w:spacing w:line="360" w:lineRule="auto"/>
        <w:ind w:firstLine="539" w:firstLineChars="257"/>
        <w:rPr>
          <w:rFonts w:ascii="宋体" w:hAnsi="宋体" w:cs="Arial"/>
        </w:rPr>
      </w:pPr>
      <w:r>
        <w:rPr>
          <w:rFonts w:hint="eastAsia" w:ascii="宋体" w:hAnsi="宋体" w:cs="Arial"/>
        </w:rPr>
        <w:t>受委托人：</w:t>
      </w:r>
      <w:r>
        <w:rPr>
          <w:rFonts w:ascii="宋体" w:hAnsi="宋体" w:cs="Arial"/>
          <w:u w:val="single"/>
        </w:rPr>
        <w:t xml:space="preserve">       </w:t>
      </w:r>
      <w:r>
        <w:rPr>
          <w:rFonts w:hint="eastAsia" w:ascii="宋体" w:hAnsi="宋体" w:cs="Arial"/>
        </w:rPr>
        <w:t>（受委托人姓名），性别：</w:t>
      </w:r>
      <w:r>
        <w:rPr>
          <w:rFonts w:ascii="宋体" w:hAnsi="宋体" w:cs="Arial"/>
          <w:u w:val="single"/>
        </w:rPr>
        <w:t xml:space="preserve">    </w:t>
      </w:r>
      <w:r>
        <w:rPr>
          <w:rFonts w:hint="eastAsia" w:ascii="宋体" w:hAnsi="宋体" w:cs="Arial"/>
        </w:rPr>
        <w:t>，民族：</w:t>
      </w:r>
      <w:r>
        <w:rPr>
          <w:rFonts w:ascii="宋体" w:hAnsi="宋体" w:cs="Arial"/>
          <w:u w:val="single"/>
        </w:rPr>
        <w:t xml:space="preserve">    </w:t>
      </w:r>
      <w:r>
        <w:rPr>
          <w:rFonts w:hint="eastAsia" w:ascii="宋体" w:hAnsi="宋体" w:cs="Arial"/>
        </w:rPr>
        <w:t>，出生年月日：</w:t>
      </w:r>
      <w:r>
        <w:rPr>
          <w:rFonts w:ascii="宋体" w:hAnsi="宋体" w:cs="Arial"/>
          <w:u w:val="single"/>
        </w:rPr>
        <w:t xml:space="preserve">    </w:t>
      </w:r>
      <w:r>
        <w:rPr>
          <w:rFonts w:hint="eastAsia" w:ascii="宋体" w:hAnsi="宋体" w:cs="Arial"/>
        </w:rPr>
        <w:t>，身份证号码：</w:t>
      </w:r>
      <w:r>
        <w:rPr>
          <w:rFonts w:ascii="宋体" w:hAnsi="宋体" w:cs="Arial"/>
          <w:u w:val="single"/>
        </w:rPr>
        <w:t xml:space="preserve">       </w:t>
      </w:r>
      <w:r>
        <w:rPr>
          <w:rFonts w:ascii="宋体" w:hAnsi="宋体" w:cs="Arial"/>
        </w:rPr>
        <w:t xml:space="preserve"> </w:t>
      </w:r>
      <w:r>
        <w:rPr>
          <w:rFonts w:hint="eastAsia" w:ascii="宋体" w:hAnsi="宋体" w:cs="Arial"/>
        </w:rPr>
        <w:t>，电话：</w:t>
      </w:r>
      <w:r>
        <w:rPr>
          <w:rFonts w:ascii="宋体" w:hAnsi="宋体" w:cs="Arial"/>
          <w:u w:val="single"/>
        </w:rPr>
        <w:t xml:space="preserve">               </w:t>
      </w:r>
      <w:r>
        <w:rPr>
          <w:rFonts w:ascii="宋体" w:hAnsi="宋体" w:cs="Arial"/>
        </w:rPr>
        <w:t xml:space="preserve"> </w:t>
      </w:r>
      <w:r>
        <w:rPr>
          <w:rFonts w:hint="eastAsia" w:ascii="宋体" w:hAnsi="宋体" w:cs="Arial"/>
        </w:rPr>
        <w:t>。</w:t>
      </w:r>
    </w:p>
    <w:p>
      <w:pPr>
        <w:spacing w:line="360" w:lineRule="auto"/>
        <w:ind w:firstLine="539" w:firstLineChars="257"/>
        <w:rPr>
          <w:rFonts w:ascii="宋体" w:hAnsi="宋体" w:cs="Arial"/>
        </w:rPr>
      </w:pPr>
    </w:p>
    <w:p>
      <w:pPr>
        <w:spacing w:line="360" w:lineRule="auto"/>
        <w:ind w:firstLine="420" w:firstLineChars="200"/>
        <w:rPr>
          <w:rFonts w:ascii="宋体" w:hAnsi="宋体" w:cs="Arial"/>
        </w:rPr>
      </w:pPr>
      <w:r>
        <w:rPr>
          <w:rFonts w:hint="eastAsia" w:ascii="宋体" w:hAnsi="宋体" w:cs="Arial"/>
        </w:rPr>
        <w:t>兹委托上列受委托人担任委托人的代理人，代理参加</w:t>
      </w:r>
      <w:r>
        <w:rPr>
          <w:rFonts w:hint="eastAsia" w:ascii="宋体" w:hAnsi="宋体" w:cs="Arial"/>
          <w:szCs w:val="21"/>
        </w:rPr>
        <w:t>《广医附属番禺中心医院智慧无线及骨干网络改造一期项目》</w:t>
      </w:r>
      <w:r>
        <w:rPr>
          <w:rFonts w:ascii="宋体" w:hAnsi="宋体" w:cs="Arial"/>
        </w:rPr>
        <w:t>市场价格调研</w:t>
      </w:r>
      <w:r>
        <w:rPr>
          <w:rFonts w:hint="eastAsia" w:ascii="宋体" w:hAnsi="宋体" w:cs="Arial"/>
        </w:rPr>
        <w:t>活动。受委托人代理权限如下：</w:t>
      </w:r>
    </w:p>
    <w:p>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提交方案及报价文件（含补充、修改文件），或者撤回已提交的方案及报价文件（含补充、修改文件）；</w:t>
      </w:r>
    </w:p>
    <w:p>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 xml:space="preserve">依法参加市场调研开封仪式、市场调研会议等活动； </w:t>
      </w:r>
    </w:p>
    <w:p>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对不合理对待提出由委托人确认的质疑函、投诉书；</w:t>
      </w:r>
    </w:p>
    <w:p>
      <w:pPr>
        <w:numPr>
          <w:ilvl w:val="0"/>
          <w:numId w:val="5"/>
        </w:numPr>
        <w:tabs>
          <w:tab w:val="left" w:pos="360"/>
        </w:tabs>
        <w:spacing w:line="360" w:lineRule="auto"/>
        <w:ind w:left="0" w:firstLine="540"/>
        <w:rPr>
          <w:rFonts w:ascii="宋体" w:hAnsi="宋体" w:cs="宋体"/>
          <w:sz w:val="24"/>
          <w:szCs w:val="24"/>
        </w:rPr>
      </w:pPr>
      <w:r>
        <w:rPr>
          <w:rFonts w:hint="eastAsia" w:ascii="宋体" w:hAnsi="宋体" w:cs="宋体"/>
          <w:sz w:val="24"/>
          <w:szCs w:val="24"/>
        </w:rPr>
        <w:t>参加市场调研谈判；</w:t>
      </w:r>
    </w:p>
    <w:p>
      <w:pPr>
        <w:tabs>
          <w:tab w:val="left" w:pos="2700"/>
        </w:tabs>
        <w:spacing w:line="360" w:lineRule="auto"/>
        <w:ind w:firstLine="420" w:firstLineChars="200"/>
        <w:rPr>
          <w:rFonts w:ascii="宋体" w:hAnsi="宋体" w:cs="Arial"/>
        </w:rPr>
      </w:pPr>
      <w:r>
        <w:rPr>
          <w:rFonts w:hint="eastAsia" w:ascii="宋体" w:hAnsi="宋体" w:cs="Arial"/>
        </w:rPr>
        <w:t>上列受委托人在上述授权范围和代理权限内，在有关文件上签名委托人予以承认，产生的权利归委托人享有，义务由委托人承担，民事责任由委托人和受委托人共同承担。</w:t>
      </w:r>
    </w:p>
    <w:p>
      <w:pPr>
        <w:spacing w:line="360" w:lineRule="auto"/>
        <w:ind w:firstLine="420" w:firstLineChars="200"/>
        <w:rPr>
          <w:rFonts w:ascii="宋体" w:hAnsi="宋体" w:cs="Arial"/>
        </w:rPr>
      </w:pPr>
    </w:p>
    <w:p>
      <w:pPr>
        <w:spacing w:line="360" w:lineRule="auto"/>
        <w:ind w:firstLine="3780" w:firstLineChars="1800"/>
        <w:rPr>
          <w:rFonts w:ascii="宋体" w:hAnsi="宋体" w:cs="Arial"/>
        </w:rPr>
      </w:pPr>
    </w:p>
    <w:p>
      <w:pPr>
        <w:spacing w:line="360" w:lineRule="auto"/>
        <w:ind w:firstLine="3780" w:firstLineChars="1800"/>
        <w:rPr>
          <w:rFonts w:ascii="宋体" w:hAnsi="宋体" w:cs="Arial"/>
        </w:rPr>
      </w:pPr>
    </w:p>
    <w:p>
      <w:pPr>
        <w:spacing w:line="360" w:lineRule="auto"/>
        <w:rPr>
          <w:rFonts w:ascii="宋体" w:hAnsi="宋体" w:cs="Arial"/>
        </w:rPr>
      </w:pPr>
    </w:p>
    <w:p>
      <w:pPr>
        <w:spacing w:line="360" w:lineRule="auto"/>
        <w:rPr>
          <w:rFonts w:ascii="宋体" w:hAnsi="宋体" w:cs="Arial"/>
        </w:rPr>
      </w:pPr>
    </w:p>
    <w:p>
      <w:pPr>
        <w:tabs>
          <w:tab w:val="left" w:pos="3780"/>
        </w:tabs>
        <w:spacing w:line="360" w:lineRule="auto"/>
        <w:ind w:firstLine="1260" w:firstLineChars="600"/>
        <w:rPr>
          <w:rFonts w:ascii="宋体" w:hAnsi="宋体" w:cs="Arial"/>
        </w:rPr>
      </w:pPr>
      <w:r>
        <w:rPr>
          <w:rFonts w:hint="eastAsia" w:ascii="宋体" w:hAnsi="宋体" w:cs="Arial"/>
        </w:rPr>
        <w:t>委</w:t>
      </w:r>
      <w:r>
        <w:rPr>
          <w:rFonts w:ascii="宋体" w:hAnsi="宋体" w:cs="Arial"/>
        </w:rPr>
        <w:t xml:space="preserve"> </w:t>
      </w:r>
      <w:r>
        <w:rPr>
          <w:rFonts w:hint="eastAsia" w:ascii="宋体" w:hAnsi="宋体" w:cs="Arial"/>
        </w:rPr>
        <w:t>托</w:t>
      </w:r>
      <w:r>
        <w:rPr>
          <w:rFonts w:ascii="宋体" w:hAnsi="宋体" w:cs="Arial"/>
        </w:rPr>
        <w:t xml:space="preserve"> </w:t>
      </w:r>
      <w:r>
        <w:rPr>
          <w:rFonts w:hint="eastAsia" w:ascii="宋体" w:hAnsi="宋体" w:cs="Arial"/>
        </w:rPr>
        <w:t>人（公章）：</w:t>
      </w:r>
    </w:p>
    <w:p>
      <w:pPr>
        <w:spacing w:line="360" w:lineRule="auto"/>
        <w:rPr>
          <w:rFonts w:ascii="宋体" w:hAnsi="宋体" w:cs="Arial"/>
        </w:rPr>
      </w:pPr>
    </w:p>
    <w:p>
      <w:pPr>
        <w:spacing w:line="360" w:lineRule="auto"/>
        <w:ind w:firstLine="5880" w:firstLineChars="2800"/>
        <w:rPr>
          <w:rFonts w:ascii="宋体" w:hAnsi="宋体" w:cs="Arial"/>
          <w:szCs w:val="21"/>
        </w:rPr>
      </w:pPr>
      <w:r>
        <w:rPr>
          <w:rFonts w:ascii="宋体" w:hAnsi="宋体" w:cs="Arial"/>
        </w:rPr>
        <w:t xml:space="preserve">202  </w:t>
      </w:r>
      <w:r>
        <w:rPr>
          <w:rFonts w:hint="eastAsia" w:ascii="宋体" w:hAnsi="宋体" w:cs="Arial"/>
        </w:rPr>
        <w:t>年</w:t>
      </w:r>
      <w:r>
        <w:rPr>
          <w:rFonts w:ascii="宋体" w:hAnsi="宋体" w:cs="Arial"/>
        </w:rPr>
        <w:t xml:space="preserve"> </w:t>
      </w:r>
      <w:r>
        <w:rPr>
          <w:rFonts w:hint="eastAsia" w:ascii="宋体" w:hAnsi="宋体" w:cs="Arial"/>
        </w:rPr>
        <w:t xml:space="preserve">  月</w:t>
      </w:r>
      <w:r>
        <w:rPr>
          <w:rFonts w:ascii="宋体" w:hAnsi="宋体" w:cs="Arial"/>
        </w:rPr>
        <w:t xml:space="preserve"> </w:t>
      </w:r>
      <w:r>
        <w:rPr>
          <w:rFonts w:hint="eastAsia" w:ascii="宋体" w:hAnsi="宋体" w:cs="Arial"/>
        </w:rPr>
        <w:t xml:space="preserve">  日</w:t>
      </w:r>
    </w:p>
    <w:p>
      <w:pPr>
        <w:spacing w:line="360" w:lineRule="auto"/>
        <w:ind w:firstLine="3780" w:firstLineChars="1800"/>
        <w:rPr>
          <w:rFonts w:ascii="宋体" w:hAnsi="宋体"/>
          <w:szCs w:val="24"/>
        </w:rPr>
      </w:pPr>
    </w:p>
    <w:p>
      <w:pPr>
        <w:pStyle w:val="2"/>
        <w:keepNext w:val="0"/>
        <w:keepLines w:val="0"/>
        <w:spacing w:before="0" w:after="0"/>
        <w:rPr>
          <w:rFonts w:ascii="宋体" w:hAnsi="宋体" w:cs="Arial"/>
          <w:b w:val="0"/>
          <w:bCs w:val="0"/>
          <w:kern w:val="2"/>
          <w:sz w:val="21"/>
          <w:szCs w:val="21"/>
        </w:rPr>
      </w:pPr>
      <w:r>
        <w:rPr>
          <w:rFonts w:ascii="宋体" w:hAnsi="宋体"/>
          <w:b w:val="0"/>
        </w:rPr>
        <w:br w:type="page"/>
      </w:r>
      <w:r>
        <w:rPr>
          <w:rFonts w:hint="eastAsia" w:ascii="宋体" w:hAnsi="宋体"/>
          <w:b w:val="0"/>
          <w:kern w:val="2"/>
          <w:sz w:val="21"/>
          <w:szCs w:val="21"/>
        </w:rPr>
        <w:t>附件3  报价一览表</w:t>
      </w:r>
    </w:p>
    <w:p>
      <w:pPr>
        <w:spacing w:line="360" w:lineRule="auto"/>
        <w:rPr>
          <w:rFonts w:ascii="宋体" w:hAnsi="宋体" w:cs="Arial"/>
          <w:szCs w:val="21"/>
        </w:rPr>
      </w:pPr>
      <w:r>
        <w:rPr>
          <w:rFonts w:hint="eastAsia" w:ascii="宋体" w:hAnsi="宋体" w:cs="Arial"/>
          <w:szCs w:val="21"/>
        </w:rPr>
        <w:t>广州医科大学附属番禺中心医院：</w:t>
      </w:r>
    </w:p>
    <w:p>
      <w:pPr>
        <w:tabs>
          <w:tab w:val="left" w:pos="120"/>
          <w:tab w:val="left" w:pos="1800"/>
          <w:tab w:val="left" w:pos="3720"/>
          <w:tab w:val="left" w:pos="5880"/>
          <w:tab w:val="left" w:pos="7800"/>
        </w:tabs>
        <w:spacing w:line="360" w:lineRule="auto"/>
        <w:ind w:firstLine="600"/>
        <w:rPr>
          <w:rFonts w:ascii="宋体" w:hAnsi="宋体" w:cs="Arial"/>
          <w:szCs w:val="21"/>
        </w:rPr>
      </w:pPr>
      <w:r>
        <w:rPr>
          <w:rFonts w:hint="eastAsia" w:ascii="宋体" w:hAnsi="宋体" w:cs="Arial"/>
          <w:szCs w:val="21"/>
        </w:rPr>
        <w:t>在研究了方案和有关文件后，我们《广医附属番禺中心医院智慧无线及骨干网络改造一期项目》报价如下：</w:t>
      </w:r>
    </w:p>
    <w:p>
      <w:pPr>
        <w:tabs>
          <w:tab w:val="left" w:pos="120"/>
          <w:tab w:val="left" w:pos="1800"/>
          <w:tab w:val="left" w:pos="3720"/>
          <w:tab w:val="left" w:pos="5880"/>
          <w:tab w:val="left" w:pos="7800"/>
        </w:tabs>
        <w:spacing w:line="360" w:lineRule="auto"/>
        <w:ind w:firstLine="600"/>
        <w:rPr>
          <w:rFonts w:ascii="宋体" w:hAnsi="宋体" w:cs="Arial"/>
          <w:szCs w:val="21"/>
        </w:rPr>
      </w:pPr>
    </w:p>
    <w:tbl>
      <w:tblPr>
        <w:tblStyle w:val="38"/>
        <w:tblW w:w="5000" w:type="pct"/>
        <w:jc w:val="center"/>
        <w:tblLayout w:type="autofit"/>
        <w:tblCellMar>
          <w:top w:w="0" w:type="dxa"/>
          <w:left w:w="30" w:type="dxa"/>
          <w:bottom w:w="0" w:type="dxa"/>
          <w:right w:w="30" w:type="dxa"/>
        </w:tblCellMar>
      </w:tblPr>
      <w:tblGrid>
        <w:gridCol w:w="991"/>
        <w:gridCol w:w="4269"/>
        <w:gridCol w:w="2663"/>
        <w:gridCol w:w="1775"/>
      </w:tblGrid>
      <w:tr>
        <w:tblPrEx>
          <w:tblCellMar>
            <w:top w:w="0" w:type="dxa"/>
            <w:left w:w="30" w:type="dxa"/>
            <w:bottom w:w="0" w:type="dxa"/>
            <w:right w:w="30" w:type="dxa"/>
          </w:tblCellMar>
        </w:tblPrEx>
        <w:trPr>
          <w:trHeight w:val="657" w:hRule="exact"/>
          <w:jc w:val="center"/>
        </w:trPr>
        <w:tc>
          <w:tcPr>
            <w:tcW w:w="511" w:type="pct"/>
            <w:tcBorders>
              <w:top w:val="single" w:color="auto" w:sz="6" w:space="0"/>
              <w:left w:val="single" w:color="auto" w:sz="6" w:space="0"/>
              <w:bottom w:val="single" w:color="auto" w:sz="6" w:space="0"/>
              <w:right w:val="single" w:color="auto" w:sz="6" w:space="0"/>
            </w:tcBorders>
          </w:tcPr>
          <w:p>
            <w:pPr>
              <w:autoSpaceDE w:val="0"/>
              <w:autoSpaceDN w:val="0"/>
              <w:jc w:val="center"/>
              <w:rPr>
                <w:rFonts w:ascii="宋体" w:hAnsi="宋体" w:cs="宋体"/>
                <w:b/>
                <w:bCs/>
                <w:sz w:val="24"/>
                <w:szCs w:val="24"/>
              </w:rPr>
            </w:pPr>
            <w:r>
              <w:rPr>
                <w:rFonts w:hint="eastAsia" w:ascii="宋体" w:hAnsi="宋体" w:cs="宋体"/>
                <w:b/>
                <w:bCs/>
                <w:sz w:val="24"/>
                <w:szCs w:val="24"/>
              </w:rPr>
              <w:t>序号</w:t>
            </w:r>
          </w:p>
        </w:tc>
        <w:tc>
          <w:tcPr>
            <w:tcW w:w="2201" w:type="pct"/>
            <w:tcBorders>
              <w:top w:val="single" w:color="auto" w:sz="6" w:space="0"/>
              <w:left w:val="single" w:color="auto" w:sz="6" w:space="0"/>
              <w:bottom w:val="single" w:color="auto" w:sz="6" w:space="0"/>
              <w:right w:val="single" w:color="auto" w:sz="6" w:space="0"/>
            </w:tcBorders>
          </w:tcPr>
          <w:p>
            <w:pPr>
              <w:autoSpaceDE w:val="0"/>
              <w:autoSpaceDN w:val="0"/>
              <w:jc w:val="center"/>
              <w:rPr>
                <w:rFonts w:ascii="宋体" w:hAnsi="宋体" w:cs="宋体"/>
                <w:b/>
                <w:bCs/>
                <w:sz w:val="24"/>
                <w:szCs w:val="24"/>
              </w:rPr>
            </w:pPr>
            <w:r>
              <w:rPr>
                <w:rFonts w:hint="eastAsia" w:ascii="宋体" w:hAnsi="宋体" w:cs="宋体"/>
                <w:b/>
                <w:bCs/>
                <w:sz w:val="24"/>
                <w:szCs w:val="24"/>
              </w:rPr>
              <w:t>分部分项名称</w:t>
            </w:r>
          </w:p>
        </w:tc>
        <w:tc>
          <w:tcPr>
            <w:tcW w:w="1373" w:type="pct"/>
            <w:tcBorders>
              <w:top w:val="single" w:color="auto" w:sz="6" w:space="0"/>
              <w:left w:val="single" w:color="auto" w:sz="6" w:space="0"/>
              <w:bottom w:val="single" w:color="auto" w:sz="6" w:space="0"/>
              <w:right w:val="single" w:color="auto" w:sz="6" w:space="0"/>
            </w:tcBorders>
          </w:tcPr>
          <w:p>
            <w:pPr>
              <w:autoSpaceDE w:val="0"/>
              <w:autoSpaceDN w:val="0"/>
              <w:jc w:val="center"/>
              <w:rPr>
                <w:rFonts w:ascii="宋体" w:hAnsi="宋体" w:cs="宋体"/>
                <w:b/>
                <w:bCs/>
                <w:sz w:val="24"/>
                <w:szCs w:val="24"/>
              </w:rPr>
            </w:pPr>
            <w:r>
              <w:rPr>
                <w:rFonts w:hint="eastAsia" w:ascii="宋体" w:hAnsi="宋体" w:cs="宋体"/>
                <w:b/>
                <w:bCs/>
                <w:sz w:val="24"/>
                <w:szCs w:val="24"/>
              </w:rPr>
              <w:t>合计价格</w:t>
            </w:r>
          </w:p>
        </w:tc>
        <w:tc>
          <w:tcPr>
            <w:tcW w:w="915" w:type="pct"/>
            <w:tcBorders>
              <w:top w:val="single" w:color="auto" w:sz="6" w:space="0"/>
              <w:left w:val="single" w:color="auto" w:sz="6" w:space="0"/>
              <w:bottom w:val="single" w:color="auto" w:sz="6" w:space="0"/>
              <w:right w:val="single" w:color="auto" w:sz="6" w:space="0"/>
            </w:tcBorders>
          </w:tcPr>
          <w:p>
            <w:pPr>
              <w:autoSpaceDE w:val="0"/>
              <w:autoSpaceDN w:val="0"/>
              <w:jc w:val="center"/>
              <w:rPr>
                <w:rFonts w:ascii="宋体" w:hAnsi="宋体" w:cs="宋体"/>
                <w:b/>
                <w:bCs/>
                <w:sz w:val="24"/>
                <w:szCs w:val="24"/>
              </w:rPr>
            </w:pPr>
            <w:r>
              <w:rPr>
                <w:rFonts w:hint="eastAsia" w:ascii="宋体" w:hAnsi="宋体" w:cs="宋体"/>
                <w:b/>
                <w:bCs/>
                <w:sz w:val="24"/>
                <w:szCs w:val="24"/>
              </w:rPr>
              <w:t>备注</w:t>
            </w:r>
          </w:p>
        </w:tc>
      </w:tr>
      <w:tr>
        <w:tblPrEx>
          <w:tblCellMar>
            <w:top w:w="0" w:type="dxa"/>
            <w:left w:w="30" w:type="dxa"/>
            <w:bottom w:w="0" w:type="dxa"/>
            <w:right w:w="30" w:type="dxa"/>
          </w:tblCellMar>
        </w:tblPrEx>
        <w:trPr>
          <w:trHeight w:val="1404" w:hRule="exact"/>
          <w:jc w:val="center"/>
        </w:trPr>
        <w:tc>
          <w:tcPr>
            <w:tcW w:w="511" w:type="pct"/>
            <w:tcBorders>
              <w:top w:val="single" w:color="auto" w:sz="6" w:space="0"/>
              <w:left w:val="single" w:color="auto" w:sz="6" w:space="0"/>
              <w:bottom w:val="single" w:color="auto" w:sz="6" w:space="0"/>
              <w:right w:val="single" w:color="auto" w:sz="6" w:space="0"/>
            </w:tcBorders>
          </w:tcPr>
          <w:p>
            <w:pPr>
              <w:autoSpaceDE w:val="0"/>
              <w:autoSpaceDN w:val="0"/>
              <w:jc w:val="center"/>
              <w:rPr>
                <w:rFonts w:ascii="宋体" w:hAnsi="宋体" w:cs="宋体"/>
                <w:sz w:val="24"/>
                <w:szCs w:val="24"/>
              </w:rPr>
            </w:pPr>
            <w:r>
              <w:rPr>
                <w:rFonts w:hint="eastAsia" w:ascii="宋体" w:hAnsi="宋体" w:cs="宋体"/>
                <w:sz w:val="24"/>
                <w:szCs w:val="24"/>
              </w:rPr>
              <w:t>1</w:t>
            </w:r>
          </w:p>
        </w:tc>
        <w:tc>
          <w:tcPr>
            <w:tcW w:w="2201" w:type="pct"/>
            <w:tcBorders>
              <w:top w:val="single" w:color="auto" w:sz="6" w:space="0"/>
              <w:left w:val="single" w:color="auto" w:sz="6" w:space="0"/>
              <w:bottom w:val="single" w:color="auto" w:sz="6" w:space="0"/>
              <w:right w:val="single" w:color="auto" w:sz="6" w:space="0"/>
            </w:tcBorders>
          </w:tcPr>
          <w:p>
            <w:pPr>
              <w:rPr>
                <w:rFonts w:ascii="宋体" w:hAnsi="宋体" w:cs="宋体"/>
                <w:bCs/>
                <w:sz w:val="24"/>
                <w:szCs w:val="24"/>
              </w:rPr>
            </w:pPr>
            <w:r>
              <w:rPr>
                <w:rFonts w:hint="eastAsia"/>
              </w:rPr>
              <w:t>1号楼、2号楼、3号楼和5号楼配套工程</w:t>
            </w:r>
          </w:p>
        </w:tc>
        <w:tc>
          <w:tcPr>
            <w:tcW w:w="1373" w:type="pct"/>
            <w:tcBorders>
              <w:top w:val="single" w:color="auto" w:sz="6" w:space="0"/>
              <w:left w:val="single" w:color="auto" w:sz="6" w:space="0"/>
              <w:bottom w:val="single" w:color="auto" w:sz="6" w:space="0"/>
              <w:right w:val="single" w:color="auto" w:sz="6" w:space="0"/>
            </w:tcBorders>
          </w:tcPr>
          <w:p>
            <w:pPr>
              <w:autoSpaceDE w:val="0"/>
              <w:autoSpaceDN w:val="0"/>
              <w:jc w:val="right"/>
              <w:rPr>
                <w:rFonts w:ascii="宋体" w:hAnsi="宋体" w:cs="宋体"/>
                <w:sz w:val="24"/>
                <w:szCs w:val="24"/>
              </w:rPr>
            </w:pPr>
          </w:p>
        </w:tc>
        <w:tc>
          <w:tcPr>
            <w:tcW w:w="915" w:type="pct"/>
            <w:vMerge w:val="restart"/>
            <w:tcBorders>
              <w:top w:val="single" w:color="auto" w:sz="6" w:space="0"/>
              <w:left w:val="single" w:color="auto" w:sz="6" w:space="0"/>
              <w:right w:val="single" w:color="auto" w:sz="6" w:space="0"/>
            </w:tcBorders>
            <w:vAlign w:val="center"/>
          </w:tcPr>
          <w:p>
            <w:pPr>
              <w:rPr>
                <w:lang w:val="zh-CN"/>
              </w:rPr>
            </w:pPr>
            <w:r>
              <w:rPr>
                <w:rFonts w:hint="eastAsia"/>
                <w:lang w:val="zh-CN"/>
              </w:rPr>
              <w:t>1、承建方需根据在库清单情况，按需求书“三、项目覆盖范围”要求进行综合布线系统及安装工程改造。为准确估算造价，承建方可于报价前对用户现状进行实地勘察。</w:t>
            </w:r>
          </w:p>
          <w:p>
            <w:pPr>
              <w:rPr>
                <w:lang w:val="zh-CN"/>
              </w:rPr>
            </w:pPr>
            <w:r>
              <w:rPr>
                <w:rFonts w:hint="eastAsia"/>
                <w:lang w:val="zh-CN"/>
              </w:rPr>
              <w:t>2、本期项目建设的详细需求，详看需求书“四、项目建设需求”或附件4。</w:t>
            </w:r>
          </w:p>
          <w:p>
            <w:pPr>
              <w:rPr>
                <w:rFonts w:ascii="宋体" w:hAnsi="宋体" w:cs="宋体"/>
                <w:sz w:val="24"/>
                <w:szCs w:val="24"/>
              </w:rPr>
            </w:pPr>
          </w:p>
        </w:tc>
      </w:tr>
      <w:tr>
        <w:tblPrEx>
          <w:tblCellMar>
            <w:top w:w="0" w:type="dxa"/>
            <w:left w:w="30" w:type="dxa"/>
            <w:bottom w:w="0" w:type="dxa"/>
            <w:right w:w="30" w:type="dxa"/>
          </w:tblCellMar>
        </w:tblPrEx>
        <w:trPr>
          <w:trHeight w:val="1570" w:hRule="exact"/>
          <w:jc w:val="center"/>
        </w:trPr>
        <w:tc>
          <w:tcPr>
            <w:tcW w:w="511" w:type="pct"/>
            <w:tcBorders>
              <w:top w:val="single" w:color="auto" w:sz="6" w:space="0"/>
              <w:left w:val="single" w:color="auto" w:sz="6" w:space="0"/>
              <w:bottom w:val="single" w:color="auto" w:sz="6" w:space="0"/>
              <w:right w:val="single" w:color="auto" w:sz="6" w:space="0"/>
            </w:tcBorders>
          </w:tcPr>
          <w:p>
            <w:pPr>
              <w:autoSpaceDE w:val="0"/>
              <w:autoSpaceDN w:val="0"/>
              <w:jc w:val="center"/>
              <w:rPr>
                <w:rFonts w:ascii="宋体" w:hAnsi="宋体" w:cs="宋体"/>
                <w:sz w:val="24"/>
                <w:szCs w:val="24"/>
              </w:rPr>
            </w:pPr>
            <w:r>
              <w:rPr>
                <w:rFonts w:hint="eastAsia" w:ascii="宋体" w:hAnsi="宋体" w:cs="宋体"/>
                <w:sz w:val="24"/>
                <w:szCs w:val="24"/>
              </w:rPr>
              <w:t>2</w:t>
            </w:r>
          </w:p>
        </w:tc>
        <w:tc>
          <w:tcPr>
            <w:tcW w:w="2201" w:type="pct"/>
            <w:tcBorders>
              <w:top w:val="single" w:color="auto" w:sz="6" w:space="0"/>
              <w:left w:val="single" w:color="auto" w:sz="6" w:space="0"/>
              <w:bottom w:val="single" w:color="auto" w:sz="6" w:space="0"/>
              <w:right w:val="single" w:color="auto" w:sz="6" w:space="0"/>
            </w:tcBorders>
          </w:tcPr>
          <w:p>
            <w:pPr>
              <w:rPr>
                <w:rFonts w:ascii="宋体" w:hAnsi="宋体" w:cs="宋体"/>
                <w:bCs/>
                <w:sz w:val="24"/>
                <w:szCs w:val="24"/>
              </w:rPr>
            </w:pPr>
            <w:r>
              <w:rPr>
                <w:rFonts w:hint="eastAsia"/>
              </w:rPr>
              <w:t>1号楼、2号楼、3号楼和5号楼的无线网络</w:t>
            </w:r>
          </w:p>
        </w:tc>
        <w:tc>
          <w:tcPr>
            <w:tcW w:w="1373" w:type="pct"/>
            <w:tcBorders>
              <w:top w:val="single" w:color="auto" w:sz="6" w:space="0"/>
              <w:left w:val="single" w:color="auto" w:sz="6" w:space="0"/>
              <w:bottom w:val="single" w:color="auto" w:sz="6" w:space="0"/>
              <w:right w:val="single" w:color="auto" w:sz="6" w:space="0"/>
            </w:tcBorders>
          </w:tcPr>
          <w:p>
            <w:pPr>
              <w:autoSpaceDE w:val="0"/>
              <w:autoSpaceDN w:val="0"/>
              <w:jc w:val="right"/>
              <w:rPr>
                <w:rFonts w:ascii="宋体" w:hAnsi="宋体" w:cs="宋体"/>
                <w:sz w:val="24"/>
                <w:szCs w:val="24"/>
              </w:rPr>
            </w:pPr>
          </w:p>
        </w:tc>
        <w:tc>
          <w:tcPr>
            <w:tcW w:w="915" w:type="pct"/>
            <w:vMerge w:val="continue"/>
            <w:tcBorders>
              <w:left w:val="single" w:color="auto" w:sz="6" w:space="0"/>
              <w:right w:val="single" w:color="auto" w:sz="6" w:space="0"/>
            </w:tcBorders>
            <w:vAlign w:val="center"/>
          </w:tcPr>
          <w:p>
            <w:pPr>
              <w:rPr>
                <w:rFonts w:ascii="宋体" w:hAnsi="宋体" w:cs="宋体"/>
                <w:sz w:val="24"/>
                <w:szCs w:val="24"/>
              </w:rPr>
            </w:pPr>
          </w:p>
        </w:tc>
      </w:tr>
      <w:tr>
        <w:tblPrEx>
          <w:tblCellMar>
            <w:top w:w="0" w:type="dxa"/>
            <w:left w:w="30" w:type="dxa"/>
            <w:bottom w:w="0" w:type="dxa"/>
            <w:right w:w="30" w:type="dxa"/>
          </w:tblCellMar>
        </w:tblPrEx>
        <w:trPr>
          <w:trHeight w:val="1411" w:hRule="exact"/>
          <w:jc w:val="center"/>
        </w:trPr>
        <w:tc>
          <w:tcPr>
            <w:tcW w:w="511" w:type="pct"/>
            <w:tcBorders>
              <w:top w:val="single" w:color="auto" w:sz="6" w:space="0"/>
              <w:left w:val="single" w:color="auto" w:sz="6" w:space="0"/>
              <w:bottom w:val="single" w:color="auto" w:sz="6" w:space="0"/>
              <w:right w:val="single" w:color="auto" w:sz="6" w:space="0"/>
            </w:tcBorders>
          </w:tcPr>
          <w:p>
            <w:pPr>
              <w:autoSpaceDE w:val="0"/>
              <w:autoSpaceDN w:val="0"/>
              <w:jc w:val="center"/>
              <w:rPr>
                <w:rFonts w:ascii="宋体" w:hAnsi="宋体" w:cs="宋体"/>
                <w:sz w:val="24"/>
                <w:szCs w:val="24"/>
              </w:rPr>
            </w:pPr>
            <w:r>
              <w:rPr>
                <w:rFonts w:hint="eastAsia" w:ascii="宋体" w:hAnsi="宋体" w:cs="宋体"/>
                <w:sz w:val="24"/>
                <w:szCs w:val="24"/>
              </w:rPr>
              <w:t>3</w:t>
            </w:r>
          </w:p>
        </w:tc>
        <w:tc>
          <w:tcPr>
            <w:tcW w:w="2201" w:type="pct"/>
            <w:tcBorders>
              <w:top w:val="single" w:color="auto" w:sz="6" w:space="0"/>
              <w:left w:val="single" w:color="auto" w:sz="6" w:space="0"/>
              <w:bottom w:val="single" w:color="auto" w:sz="6" w:space="0"/>
              <w:right w:val="single" w:color="auto" w:sz="6" w:space="0"/>
            </w:tcBorders>
          </w:tcPr>
          <w:p>
            <w:pPr>
              <w:rPr>
                <w:rFonts w:ascii="宋体" w:hAnsi="宋体" w:cs="宋体"/>
                <w:sz w:val="24"/>
                <w:szCs w:val="24"/>
              </w:rPr>
            </w:pPr>
            <w:r>
              <w:rPr>
                <w:rFonts w:hint="eastAsia"/>
              </w:rPr>
              <w:t>1号楼、2号楼、3号楼和5号楼的有线网络</w:t>
            </w:r>
          </w:p>
        </w:tc>
        <w:tc>
          <w:tcPr>
            <w:tcW w:w="1373" w:type="pct"/>
            <w:tcBorders>
              <w:top w:val="single" w:color="auto" w:sz="6" w:space="0"/>
              <w:left w:val="single" w:color="auto" w:sz="6" w:space="0"/>
              <w:bottom w:val="single" w:color="auto" w:sz="6" w:space="0"/>
              <w:right w:val="single" w:color="auto" w:sz="6" w:space="0"/>
            </w:tcBorders>
          </w:tcPr>
          <w:p>
            <w:pPr>
              <w:autoSpaceDE w:val="0"/>
              <w:autoSpaceDN w:val="0"/>
              <w:jc w:val="right"/>
              <w:rPr>
                <w:rFonts w:ascii="宋体" w:hAnsi="宋体" w:cs="宋体"/>
                <w:sz w:val="24"/>
                <w:szCs w:val="24"/>
              </w:rPr>
            </w:pPr>
          </w:p>
        </w:tc>
        <w:tc>
          <w:tcPr>
            <w:tcW w:w="915" w:type="pct"/>
            <w:vMerge w:val="continue"/>
            <w:tcBorders>
              <w:left w:val="single" w:color="auto" w:sz="6" w:space="0"/>
              <w:right w:val="single" w:color="auto" w:sz="6" w:space="0"/>
            </w:tcBorders>
            <w:vAlign w:val="center"/>
          </w:tcPr>
          <w:p>
            <w:pPr>
              <w:rPr>
                <w:rFonts w:ascii="宋体" w:hAnsi="宋体" w:cs="宋体"/>
                <w:sz w:val="24"/>
                <w:szCs w:val="24"/>
              </w:rPr>
            </w:pPr>
          </w:p>
        </w:tc>
      </w:tr>
      <w:tr>
        <w:tblPrEx>
          <w:tblCellMar>
            <w:top w:w="0" w:type="dxa"/>
            <w:left w:w="30" w:type="dxa"/>
            <w:bottom w:w="0" w:type="dxa"/>
            <w:right w:w="30" w:type="dxa"/>
          </w:tblCellMar>
        </w:tblPrEx>
        <w:trPr>
          <w:trHeight w:val="1411" w:hRule="exact"/>
          <w:jc w:val="center"/>
        </w:trPr>
        <w:tc>
          <w:tcPr>
            <w:tcW w:w="511" w:type="pct"/>
            <w:tcBorders>
              <w:top w:val="single" w:color="auto" w:sz="6" w:space="0"/>
              <w:left w:val="single" w:color="auto" w:sz="6" w:space="0"/>
              <w:bottom w:val="single" w:color="auto" w:sz="6" w:space="0"/>
              <w:right w:val="single" w:color="auto" w:sz="6" w:space="0"/>
            </w:tcBorders>
          </w:tcPr>
          <w:p>
            <w:pPr>
              <w:autoSpaceDE w:val="0"/>
              <w:autoSpaceDN w:val="0"/>
              <w:jc w:val="center"/>
              <w:rPr>
                <w:rFonts w:ascii="宋体" w:hAnsi="宋体" w:cs="宋体"/>
                <w:sz w:val="24"/>
                <w:szCs w:val="24"/>
              </w:rPr>
            </w:pPr>
            <w:r>
              <w:rPr>
                <w:rFonts w:hint="eastAsia" w:ascii="宋体" w:hAnsi="宋体" w:cs="宋体"/>
                <w:sz w:val="24"/>
                <w:szCs w:val="24"/>
              </w:rPr>
              <w:t>4</w:t>
            </w:r>
          </w:p>
        </w:tc>
        <w:tc>
          <w:tcPr>
            <w:tcW w:w="2201" w:type="pct"/>
            <w:tcBorders>
              <w:top w:val="single" w:color="auto" w:sz="6" w:space="0"/>
              <w:left w:val="single" w:color="auto" w:sz="6" w:space="0"/>
              <w:bottom w:val="single" w:color="auto" w:sz="6" w:space="0"/>
              <w:right w:val="single" w:color="auto" w:sz="6" w:space="0"/>
            </w:tcBorders>
          </w:tcPr>
          <w:p>
            <w:r>
              <w:rPr>
                <w:rFonts w:hint="eastAsia"/>
              </w:rPr>
              <w:t>集成服务</w:t>
            </w:r>
          </w:p>
        </w:tc>
        <w:tc>
          <w:tcPr>
            <w:tcW w:w="1373" w:type="pct"/>
            <w:tcBorders>
              <w:top w:val="single" w:color="auto" w:sz="6" w:space="0"/>
              <w:left w:val="single" w:color="auto" w:sz="6" w:space="0"/>
              <w:bottom w:val="single" w:color="auto" w:sz="6" w:space="0"/>
              <w:right w:val="single" w:color="auto" w:sz="6" w:space="0"/>
            </w:tcBorders>
          </w:tcPr>
          <w:p>
            <w:pPr>
              <w:autoSpaceDE w:val="0"/>
              <w:autoSpaceDN w:val="0"/>
              <w:jc w:val="right"/>
              <w:rPr>
                <w:rFonts w:ascii="宋体" w:hAnsi="宋体" w:cs="宋体"/>
                <w:sz w:val="24"/>
                <w:szCs w:val="24"/>
              </w:rPr>
            </w:pPr>
          </w:p>
        </w:tc>
        <w:tc>
          <w:tcPr>
            <w:tcW w:w="915" w:type="pct"/>
            <w:vMerge w:val="continue"/>
            <w:tcBorders>
              <w:left w:val="single" w:color="auto" w:sz="6" w:space="0"/>
              <w:bottom w:val="single" w:color="auto" w:sz="6" w:space="0"/>
              <w:right w:val="single" w:color="auto" w:sz="6" w:space="0"/>
            </w:tcBorders>
            <w:vAlign w:val="center"/>
          </w:tcPr>
          <w:p>
            <w:pPr>
              <w:rPr>
                <w:rFonts w:ascii="宋体" w:hAnsi="宋体" w:cs="宋体"/>
                <w:sz w:val="24"/>
                <w:szCs w:val="24"/>
              </w:rPr>
            </w:pPr>
          </w:p>
        </w:tc>
      </w:tr>
      <w:tr>
        <w:tblPrEx>
          <w:tblCellMar>
            <w:top w:w="0" w:type="dxa"/>
            <w:left w:w="30" w:type="dxa"/>
            <w:bottom w:w="0" w:type="dxa"/>
            <w:right w:w="30" w:type="dxa"/>
          </w:tblCellMar>
        </w:tblPrEx>
        <w:trPr>
          <w:trHeight w:val="535" w:hRule="exact"/>
          <w:jc w:val="center"/>
        </w:trPr>
        <w:tc>
          <w:tcPr>
            <w:tcW w:w="511" w:type="pct"/>
            <w:tcBorders>
              <w:top w:val="single" w:color="auto" w:sz="6" w:space="0"/>
              <w:left w:val="single" w:color="auto" w:sz="6" w:space="0"/>
              <w:bottom w:val="single" w:color="auto" w:sz="6" w:space="0"/>
              <w:right w:val="single" w:color="auto" w:sz="6" w:space="0"/>
            </w:tcBorders>
          </w:tcPr>
          <w:p>
            <w:pPr>
              <w:autoSpaceDE w:val="0"/>
              <w:autoSpaceDN w:val="0"/>
              <w:jc w:val="center"/>
              <w:rPr>
                <w:rFonts w:ascii="宋体" w:hAnsi="宋体" w:cs="宋体"/>
                <w:sz w:val="24"/>
                <w:szCs w:val="24"/>
              </w:rPr>
            </w:pPr>
            <w:r>
              <w:rPr>
                <w:rFonts w:ascii="宋体" w:hAnsi="宋体" w:cs="宋体"/>
                <w:sz w:val="24"/>
                <w:szCs w:val="24"/>
              </w:rPr>
              <w:t>5</w:t>
            </w:r>
          </w:p>
        </w:tc>
        <w:tc>
          <w:tcPr>
            <w:tcW w:w="2201" w:type="pct"/>
            <w:tcBorders>
              <w:top w:val="single" w:color="auto" w:sz="6" w:space="0"/>
              <w:left w:val="single" w:color="auto" w:sz="6" w:space="0"/>
              <w:bottom w:val="single" w:color="auto" w:sz="6" w:space="0"/>
              <w:right w:val="single" w:color="auto" w:sz="6" w:space="0"/>
            </w:tcBorders>
          </w:tcPr>
          <w:p>
            <w:pPr>
              <w:autoSpaceDE w:val="0"/>
              <w:autoSpaceDN w:val="0"/>
              <w:rPr>
                <w:rFonts w:ascii="宋体" w:hAnsi="宋体" w:cs="宋体"/>
                <w:sz w:val="24"/>
                <w:szCs w:val="24"/>
              </w:rPr>
            </w:pPr>
            <w:r>
              <w:rPr>
                <w:rFonts w:hint="eastAsia" w:ascii="宋体" w:hAnsi="宋体" w:cs="宋体"/>
                <w:sz w:val="24"/>
                <w:szCs w:val="24"/>
              </w:rPr>
              <w:t>总价格</w:t>
            </w:r>
          </w:p>
        </w:tc>
        <w:tc>
          <w:tcPr>
            <w:tcW w:w="1373" w:type="pct"/>
            <w:tcBorders>
              <w:top w:val="single" w:color="auto" w:sz="6" w:space="0"/>
              <w:left w:val="single" w:color="auto" w:sz="6" w:space="0"/>
              <w:bottom w:val="single" w:color="auto" w:sz="6" w:space="0"/>
              <w:right w:val="single" w:color="auto" w:sz="6" w:space="0"/>
            </w:tcBorders>
          </w:tcPr>
          <w:p>
            <w:pPr>
              <w:autoSpaceDE w:val="0"/>
              <w:autoSpaceDN w:val="0"/>
              <w:jc w:val="right"/>
              <w:rPr>
                <w:rFonts w:ascii="宋体" w:hAnsi="宋体" w:cs="宋体"/>
                <w:sz w:val="24"/>
                <w:szCs w:val="24"/>
              </w:rPr>
            </w:pPr>
          </w:p>
        </w:tc>
        <w:tc>
          <w:tcPr>
            <w:tcW w:w="915" w:type="pct"/>
            <w:tcBorders>
              <w:top w:val="single" w:color="auto" w:sz="6" w:space="0"/>
              <w:left w:val="single" w:color="auto" w:sz="6" w:space="0"/>
              <w:bottom w:val="single" w:color="auto" w:sz="6" w:space="0"/>
              <w:right w:val="single" w:color="auto" w:sz="6" w:space="0"/>
            </w:tcBorders>
            <w:vAlign w:val="center"/>
          </w:tcPr>
          <w:p>
            <w:pPr>
              <w:rPr>
                <w:rFonts w:ascii="宋体" w:hAnsi="宋体" w:cs="宋体"/>
                <w:sz w:val="24"/>
                <w:szCs w:val="24"/>
              </w:rPr>
            </w:pPr>
          </w:p>
        </w:tc>
      </w:tr>
      <w:tr>
        <w:tblPrEx>
          <w:tblCellMar>
            <w:top w:w="0" w:type="dxa"/>
            <w:left w:w="30" w:type="dxa"/>
            <w:bottom w:w="0" w:type="dxa"/>
            <w:right w:w="30" w:type="dxa"/>
          </w:tblCellMar>
        </w:tblPrEx>
        <w:trPr>
          <w:trHeight w:val="535" w:hRule="exact"/>
          <w:jc w:val="center"/>
        </w:trPr>
        <w:tc>
          <w:tcPr>
            <w:tcW w:w="511" w:type="pct"/>
            <w:tcBorders>
              <w:top w:val="single" w:color="auto" w:sz="6" w:space="0"/>
              <w:left w:val="single" w:color="auto" w:sz="6" w:space="0"/>
              <w:bottom w:val="single" w:color="auto" w:sz="6" w:space="0"/>
              <w:right w:val="single" w:color="auto" w:sz="6" w:space="0"/>
            </w:tcBorders>
          </w:tcPr>
          <w:p>
            <w:pPr>
              <w:autoSpaceDE w:val="0"/>
              <w:autoSpaceDN w:val="0"/>
              <w:jc w:val="center"/>
              <w:rPr>
                <w:rFonts w:ascii="宋体" w:hAnsi="宋体" w:cs="宋体"/>
                <w:sz w:val="24"/>
                <w:szCs w:val="24"/>
              </w:rPr>
            </w:pPr>
            <w:r>
              <w:rPr>
                <w:rFonts w:hint="eastAsia" w:ascii="宋体" w:hAnsi="宋体" w:cs="宋体"/>
                <w:sz w:val="24"/>
                <w:szCs w:val="24"/>
              </w:rPr>
              <w:t>6</w:t>
            </w:r>
          </w:p>
        </w:tc>
        <w:tc>
          <w:tcPr>
            <w:tcW w:w="2201" w:type="pct"/>
            <w:tcBorders>
              <w:top w:val="single" w:color="auto" w:sz="6" w:space="0"/>
              <w:left w:val="single" w:color="auto" w:sz="6" w:space="0"/>
              <w:bottom w:val="single" w:color="auto" w:sz="6" w:space="0"/>
              <w:right w:val="single" w:color="auto" w:sz="6" w:space="0"/>
            </w:tcBorders>
          </w:tcPr>
          <w:p>
            <w:pPr>
              <w:autoSpaceDE w:val="0"/>
              <w:autoSpaceDN w:val="0"/>
              <w:rPr>
                <w:rFonts w:ascii="宋体" w:hAnsi="宋体" w:cs="宋体"/>
                <w:sz w:val="24"/>
                <w:szCs w:val="24"/>
              </w:rPr>
            </w:pPr>
            <w:r>
              <w:rPr>
                <w:rFonts w:hint="eastAsia" w:ascii="宋体" w:hAnsi="宋体" w:cs="宋体"/>
                <w:sz w:val="24"/>
                <w:szCs w:val="24"/>
              </w:rPr>
              <w:t>维保期外的费率</w:t>
            </w:r>
          </w:p>
        </w:tc>
        <w:tc>
          <w:tcPr>
            <w:tcW w:w="1373" w:type="pct"/>
            <w:tcBorders>
              <w:top w:val="single" w:color="auto" w:sz="6" w:space="0"/>
              <w:left w:val="single" w:color="auto" w:sz="6" w:space="0"/>
              <w:bottom w:val="single" w:color="auto" w:sz="6" w:space="0"/>
              <w:right w:val="single" w:color="auto" w:sz="6" w:space="0"/>
            </w:tcBorders>
          </w:tcPr>
          <w:p>
            <w:pPr>
              <w:autoSpaceDE w:val="0"/>
              <w:autoSpaceDN w:val="0"/>
              <w:jc w:val="center"/>
              <w:rPr>
                <w:rFonts w:ascii="宋体" w:hAnsi="宋体" w:cs="宋体"/>
                <w:sz w:val="24"/>
                <w:szCs w:val="24"/>
              </w:rPr>
            </w:pPr>
            <w:r>
              <w:rPr>
                <w:rFonts w:hint="eastAsia" w:ascii="宋体" w:hAnsi="宋体" w:cs="宋体"/>
                <w:sz w:val="24"/>
                <w:szCs w:val="24"/>
              </w:rPr>
              <w:t xml:space="preserve">总价格的 </w:t>
            </w:r>
            <w:r>
              <w:rPr>
                <w:rFonts w:ascii="宋体" w:hAnsi="宋体" w:cs="宋体"/>
                <w:sz w:val="24"/>
                <w:szCs w:val="24"/>
              </w:rPr>
              <w:t xml:space="preserve">  %</w:t>
            </w:r>
          </w:p>
        </w:tc>
        <w:tc>
          <w:tcPr>
            <w:tcW w:w="915" w:type="pct"/>
            <w:tcBorders>
              <w:top w:val="single" w:color="auto" w:sz="6" w:space="0"/>
              <w:left w:val="single" w:color="auto" w:sz="6" w:space="0"/>
              <w:bottom w:val="single" w:color="auto" w:sz="6" w:space="0"/>
              <w:right w:val="single" w:color="auto" w:sz="6" w:space="0"/>
            </w:tcBorders>
            <w:vAlign w:val="center"/>
          </w:tcPr>
          <w:p>
            <w:pPr>
              <w:rPr>
                <w:rFonts w:ascii="宋体" w:hAnsi="宋体" w:cs="宋体"/>
                <w:sz w:val="24"/>
                <w:szCs w:val="24"/>
              </w:rPr>
            </w:pPr>
          </w:p>
        </w:tc>
      </w:tr>
    </w:tbl>
    <w:p>
      <w:pPr>
        <w:spacing w:line="360" w:lineRule="auto"/>
        <w:rPr>
          <w:rFonts w:ascii="宋体" w:hAnsi="宋体" w:cs="Arial"/>
          <w:szCs w:val="21"/>
        </w:rPr>
      </w:pPr>
    </w:p>
    <w:p>
      <w:pPr>
        <w:spacing w:line="360" w:lineRule="auto"/>
        <w:jc w:val="center"/>
        <w:rPr>
          <w:rFonts w:ascii="宋体" w:hAnsi="宋体" w:cs="Arial"/>
          <w:szCs w:val="21"/>
        </w:rPr>
      </w:pPr>
      <w:r>
        <w:rPr>
          <w:rFonts w:hint="eastAsia" w:ascii="宋体" w:hAnsi="宋体" w:cs="Arial"/>
          <w:szCs w:val="21"/>
        </w:rPr>
        <w:t xml:space="preserve"> </w:t>
      </w:r>
      <w:r>
        <w:rPr>
          <w:rFonts w:ascii="宋体" w:hAnsi="宋体" w:cs="Arial"/>
          <w:szCs w:val="21"/>
        </w:rPr>
        <w:t xml:space="preserve">                                          </w:t>
      </w:r>
      <w:r>
        <w:rPr>
          <w:rFonts w:hint="eastAsia" w:ascii="宋体" w:hAnsi="宋体" w:cs="Arial"/>
          <w:szCs w:val="21"/>
        </w:rPr>
        <w:t>供应商名称：</w:t>
      </w:r>
    </w:p>
    <w:p>
      <w:pPr>
        <w:spacing w:line="360" w:lineRule="auto"/>
        <w:jc w:val="center"/>
        <w:rPr>
          <w:rFonts w:ascii="宋体" w:hAnsi="宋体" w:cs="Arial"/>
          <w:szCs w:val="21"/>
        </w:rPr>
      </w:pPr>
      <w:r>
        <w:rPr>
          <w:rFonts w:hint="eastAsia" w:ascii="宋体" w:hAnsi="宋体" w:cs="Arial"/>
          <w:szCs w:val="21"/>
        </w:rPr>
        <w:t xml:space="preserve"> </w:t>
      </w:r>
      <w:r>
        <w:rPr>
          <w:rFonts w:ascii="宋体" w:hAnsi="宋体" w:cs="Arial"/>
          <w:szCs w:val="21"/>
        </w:rPr>
        <w:t xml:space="preserve">                                                </w:t>
      </w:r>
      <w:r>
        <w:rPr>
          <w:rFonts w:hint="eastAsia" w:ascii="宋体" w:hAnsi="宋体" w:cs="Arial"/>
          <w:szCs w:val="21"/>
        </w:rPr>
        <w:t>日期：</w: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pStyle w:val="2"/>
        <w:keepNext w:val="0"/>
        <w:keepLines w:val="0"/>
        <w:spacing w:before="0" w:after="0"/>
        <w:rPr>
          <w:rFonts w:ascii="宋体" w:hAnsi="宋体" w:cs="宋体"/>
          <w:kern w:val="2"/>
          <w:szCs w:val="24"/>
        </w:rPr>
      </w:pPr>
      <w:r>
        <w:rPr>
          <w:rFonts w:hint="eastAsia" w:ascii="宋体" w:hAnsi="宋体" w:cs="宋体"/>
          <w:kern w:val="2"/>
          <w:szCs w:val="24"/>
        </w:rPr>
        <w:t>附件4详细报价清单</w:t>
      </w:r>
    </w:p>
    <w:p>
      <w:pPr>
        <w:spacing w:line="360" w:lineRule="auto"/>
        <w:ind w:firstLine="420" w:firstLineChars="200"/>
      </w:pPr>
      <w:r>
        <w:rPr>
          <w:rFonts w:hint="eastAsia" w:asciiTheme="minorEastAsia" w:hAnsiTheme="minorEastAsia" w:eastAsiaTheme="minorEastAsia"/>
        </w:rPr>
        <w:t>本期项目参考建设需求（数量列有数量的为已经确定需求，参与调研单位均需要响应；数量列为空的为可变需求（根据所提供的技术方案进行选择并配置具体数量），可变需求部分数量及设备材料规格由各参与调研单位自行补充（</w:t>
      </w:r>
      <w:r>
        <w:rPr>
          <w:rFonts w:hint="eastAsia" w:asciiTheme="minorEastAsia" w:hAnsiTheme="minorEastAsia" w:eastAsiaTheme="minorEastAsia"/>
          <w:b/>
          <w:bCs/>
        </w:rPr>
        <w:t>表格中数量为空的具体可以根据1号楼、2号楼、3号楼和5号楼的建筑CAD图来计算工程量</w:t>
      </w:r>
      <w:r>
        <w:rPr>
          <w:rFonts w:hint="eastAsia" w:asciiTheme="minorEastAsia" w:hAnsiTheme="minorEastAsia" w:eastAsiaTheme="minorEastAsia"/>
        </w:rPr>
        <w:t>），如方案还涉及到其他需要的设备材料，可以自行增加行，表头要与下表保持一致），</w:t>
      </w:r>
      <w:r>
        <w:rPr>
          <w:rFonts w:hint="eastAsia"/>
        </w:rPr>
        <w:t>详细报价包含但不限于以下，请根据技术方案完善补充：</w:t>
      </w:r>
    </w:p>
    <w:tbl>
      <w:tblPr>
        <w:tblStyle w:val="38"/>
        <w:tblW w:w="10499" w:type="dxa"/>
        <w:tblInd w:w="-431" w:type="dxa"/>
        <w:tblLayout w:type="autofit"/>
        <w:tblCellMar>
          <w:top w:w="0" w:type="dxa"/>
          <w:left w:w="108" w:type="dxa"/>
          <w:bottom w:w="0" w:type="dxa"/>
          <w:right w:w="108" w:type="dxa"/>
        </w:tblCellMar>
      </w:tblPr>
      <w:tblGrid>
        <w:gridCol w:w="720"/>
        <w:gridCol w:w="2677"/>
        <w:gridCol w:w="709"/>
        <w:gridCol w:w="2552"/>
        <w:gridCol w:w="766"/>
        <w:gridCol w:w="766"/>
        <w:gridCol w:w="766"/>
        <w:gridCol w:w="766"/>
        <w:gridCol w:w="766"/>
        <w:gridCol w:w="11"/>
      </w:tblGrid>
      <w:tr>
        <w:tblPrEx>
          <w:tblCellMar>
            <w:top w:w="0" w:type="dxa"/>
            <w:left w:w="108" w:type="dxa"/>
            <w:bottom w:w="0" w:type="dxa"/>
            <w:right w:w="108" w:type="dxa"/>
          </w:tblCellMar>
        </w:tblPrEx>
        <w:trPr>
          <w:gridAfter w:val="1"/>
          <w:wAfter w:w="11" w:type="dxa"/>
          <w:trHeight w:val="840" w:hRule="atLeast"/>
        </w:trPr>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8"/>
                <w:szCs w:val="28"/>
              </w:rPr>
            </w:pPr>
            <w:r>
              <w:rPr>
                <w:rFonts w:hint="eastAsia" w:ascii="宋体" w:hAnsi="宋体" w:cs="宋体"/>
                <w:b/>
                <w:bCs/>
                <w:kern w:val="0"/>
                <w:sz w:val="28"/>
                <w:szCs w:val="28"/>
              </w:rPr>
              <w:t>序号</w:t>
            </w:r>
          </w:p>
        </w:tc>
        <w:tc>
          <w:tcPr>
            <w:tcW w:w="267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8"/>
                <w:szCs w:val="28"/>
              </w:rPr>
            </w:pPr>
            <w:r>
              <w:rPr>
                <w:rFonts w:hint="eastAsia" w:ascii="宋体" w:hAnsi="宋体" w:cs="宋体"/>
                <w:b/>
                <w:bCs/>
                <w:kern w:val="0"/>
                <w:sz w:val="28"/>
                <w:szCs w:val="28"/>
              </w:rPr>
              <w:t>分项名称</w:t>
            </w:r>
          </w:p>
        </w:tc>
        <w:tc>
          <w:tcPr>
            <w:tcW w:w="70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8"/>
                <w:szCs w:val="28"/>
              </w:rPr>
            </w:pPr>
            <w:r>
              <w:rPr>
                <w:rFonts w:hint="eastAsia" w:ascii="宋体" w:hAnsi="宋体" w:cs="宋体"/>
                <w:b/>
                <w:bCs/>
                <w:kern w:val="0"/>
                <w:sz w:val="28"/>
                <w:szCs w:val="28"/>
              </w:rPr>
              <w:t>单位</w:t>
            </w:r>
          </w:p>
        </w:tc>
        <w:tc>
          <w:tcPr>
            <w:tcW w:w="255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8"/>
                <w:szCs w:val="28"/>
              </w:rPr>
            </w:pPr>
            <w:r>
              <w:rPr>
                <w:rFonts w:hint="eastAsia" w:ascii="宋体" w:hAnsi="宋体" w:cs="宋体"/>
                <w:b/>
                <w:bCs/>
                <w:kern w:val="0"/>
                <w:sz w:val="28"/>
                <w:szCs w:val="28"/>
              </w:rPr>
              <w:t>设备、材料规格及项目特征描述</w:t>
            </w:r>
          </w:p>
        </w:tc>
        <w:tc>
          <w:tcPr>
            <w:tcW w:w="76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8"/>
                <w:szCs w:val="28"/>
              </w:rPr>
            </w:pPr>
            <w:r>
              <w:rPr>
                <w:rFonts w:hint="eastAsia" w:ascii="宋体" w:hAnsi="宋体" w:cs="宋体"/>
                <w:b/>
                <w:bCs/>
                <w:kern w:val="0"/>
                <w:sz w:val="28"/>
                <w:szCs w:val="28"/>
              </w:rPr>
              <w:t>数量</w:t>
            </w:r>
          </w:p>
        </w:tc>
        <w:tc>
          <w:tcPr>
            <w:tcW w:w="76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8"/>
                <w:szCs w:val="28"/>
              </w:rPr>
            </w:pPr>
            <w:r>
              <w:rPr>
                <w:rFonts w:hint="eastAsia" w:ascii="宋体" w:hAnsi="宋体" w:cs="宋体"/>
                <w:b/>
                <w:bCs/>
                <w:kern w:val="0"/>
                <w:szCs w:val="21"/>
              </w:rPr>
              <w:t>综合单价</w:t>
            </w:r>
          </w:p>
        </w:tc>
        <w:tc>
          <w:tcPr>
            <w:tcW w:w="76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b/>
                <w:bCs/>
                <w:kern w:val="0"/>
                <w:sz w:val="28"/>
                <w:szCs w:val="28"/>
              </w:rPr>
            </w:pPr>
            <w:r>
              <w:rPr>
                <w:rFonts w:hint="eastAsia" w:ascii="宋体" w:hAnsi="宋体" w:cs="宋体"/>
                <w:b/>
                <w:bCs/>
                <w:kern w:val="0"/>
                <w:szCs w:val="21"/>
              </w:rPr>
              <w:t>综合合价</w:t>
            </w:r>
          </w:p>
        </w:tc>
        <w:tc>
          <w:tcPr>
            <w:tcW w:w="7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8"/>
                <w:szCs w:val="28"/>
              </w:rPr>
            </w:pPr>
            <w:r>
              <w:rPr>
                <w:rFonts w:hint="eastAsia" w:ascii="宋体" w:hAnsi="宋体" w:cs="宋体"/>
                <w:b/>
                <w:bCs/>
                <w:kern w:val="0"/>
                <w:szCs w:val="21"/>
              </w:rPr>
              <w:t>品牌</w:t>
            </w:r>
          </w:p>
        </w:tc>
        <w:tc>
          <w:tcPr>
            <w:tcW w:w="76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Cs w:val="21"/>
              </w:rPr>
            </w:pPr>
            <w:r>
              <w:rPr>
                <w:rFonts w:hint="eastAsia" w:ascii="宋体" w:hAnsi="宋体" w:cs="宋体"/>
                <w:b/>
                <w:bCs/>
                <w:kern w:val="0"/>
                <w:szCs w:val="21"/>
              </w:rPr>
              <w:t>备注</w:t>
            </w:r>
          </w:p>
        </w:tc>
      </w:tr>
      <w:tr>
        <w:tblPrEx>
          <w:tblCellMar>
            <w:top w:w="0" w:type="dxa"/>
            <w:left w:w="108" w:type="dxa"/>
            <w:bottom w:w="0" w:type="dxa"/>
            <w:right w:w="108" w:type="dxa"/>
          </w:tblCellMar>
        </w:tblPrEx>
        <w:trPr>
          <w:trHeight w:val="840" w:hRule="atLeast"/>
        </w:trPr>
        <w:tc>
          <w:tcPr>
            <w:tcW w:w="10499"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一、1号楼、2号楼、3号楼和5号楼配套工程</w:t>
            </w: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6类 PVC 屏蔽 RJ45 跳线、蓝色 3米</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条</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院方在库材料</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4711</w:t>
            </w: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2</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LC-LC双芯单模9/123um光纤跳线 2米</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条</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院方在库材料</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810</w:t>
            </w: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3</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24口光纤配线架（含光纤适配条，成端尾纤)</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个</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院方在库材料</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86</w:t>
            </w: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4</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200*100镀锌线槽</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米</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镀锌桥架金属线槽 200*100*1.2</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5</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12芯单模光缆</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米</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院方在库材料</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976</w:t>
            </w: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6</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24芯单模光缆</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米</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院方在库材料</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800</w:t>
            </w: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7</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1000*600*2000服务器机柜</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个</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院方在库材料</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38</w:t>
            </w: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8</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光缆成端</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芯</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　</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2064</w:t>
            </w: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trHeight w:val="840" w:hRule="atLeast"/>
        </w:trPr>
        <w:tc>
          <w:tcPr>
            <w:tcW w:w="10499"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二、1号楼、2号楼、3号楼和5号楼的无线网络</w:t>
            </w: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6类4对屏蔽双绞线室内电缆（蓝色）</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米</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2</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1U24口屏蔽空配线架，带尾板，含6类屏蔽信息模块，免打线式180度</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个</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3</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理线架</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个</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4</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理线架</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个</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5</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MS Gothic" w:hAnsi="MS Gothic" w:eastAsia="MS Gothic" w:cs="MS Gothic"/>
                <w:kern w:val="0"/>
                <w:sz w:val="22"/>
              </w:rPr>
              <w:t>∅</w:t>
            </w:r>
            <w:r>
              <w:rPr>
                <w:rFonts w:hint="eastAsia" w:ascii="宋体" w:hAnsi="宋体" w:cs="宋体"/>
                <w:kern w:val="0"/>
                <w:sz w:val="22"/>
              </w:rPr>
              <w:t>20镀锌线管</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米</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6</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AP本体</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台</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7</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分体AP</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台</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8</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放装型AP</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台</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9</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分布式AP</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台</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10</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光射频单元</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台</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11</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天线单元</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个</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12</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光电复合缆</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米</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13</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馈线</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米</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14</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无线AC</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台</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下一代无线控制器，自带8个光电复用口和4个SFP+万兆口。配置512个AP管理授权，可增补扩展到1152个License。配置10个万兆多模光模块</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w:t>
            </w: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15</w:t>
            </w:r>
          </w:p>
        </w:tc>
        <w:tc>
          <w:tcPr>
            <w:tcW w:w="26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无线接入认证系统</w:t>
            </w:r>
          </w:p>
        </w:tc>
        <w:tc>
          <w:tcPr>
            <w:tcW w:w="709"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台</w:t>
            </w:r>
          </w:p>
        </w:tc>
        <w:tc>
          <w:tcPr>
            <w:tcW w:w="255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提供6个GE电口，1个RJ-45配置口，USB口≥1个，硬盘≥1T，DDR2内存≥2G，支持Linux操作平台；ESS 1000授权可配版，配置2000并发在线终端数授权</w:t>
            </w:r>
          </w:p>
        </w:tc>
        <w:tc>
          <w:tcPr>
            <w:tcW w:w="766"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w:t>
            </w: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16</w:t>
            </w:r>
          </w:p>
        </w:tc>
        <w:tc>
          <w:tcPr>
            <w:tcW w:w="2677"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无线网核心交换机</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台</w:t>
            </w:r>
          </w:p>
        </w:tc>
        <w:tc>
          <w:tcPr>
            <w:tcW w:w="255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17</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无线网汇聚交换机</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台</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18</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24口POE接入交换机</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台</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19</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10G FSP+光模块</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个</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20</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16波波分复用器</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套</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21</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16波波分解复用器</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套</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trHeight w:val="840" w:hRule="atLeast"/>
        </w:trPr>
        <w:tc>
          <w:tcPr>
            <w:tcW w:w="10499" w:type="dxa"/>
            <w:gridSpan w:val="10"/>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b/>
                <w:bCs/>
                <w:kern w:val="0"/>
                <w:sz w:val="22"/>
              </w:rPr>
            </w:pPr>
            <w:r>
              <w:rPr>
                <w:rFonts w:hint="eastAsia" w:ascii="宋体" w:hAnsi="宋体" w:cs="宋体"/>
                <w:b/>
                <w:bCs/>
                <w:kern w:val="0"/>
                <w:sz w:val="22"/>
              </w:rPr>
              <w:t>三、1号楼、2号楼、3号楼和5号楼的有线网络</w:t>
            </w: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6类4对屏蔽双绞线室内电缆（蓝色）</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米</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院方在库材料</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75600</w:t>
            </w: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2</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二位86 斜口信息面板，含6类屏蔽信息模块，免打线式180度</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个</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院方在库材料</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905</w:t>
            </w: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3</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一位86 斜口信息面板，含6类屏蔽信息模块，免打线式180度</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个</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院方在库材料</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134</w:t>
            </w: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4</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1U24口屏蔽空配线架，带尾板，含6类屏蔽信息模块，免打线式180度</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个</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院方在库材料</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109</w:t>
            </w: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5</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理线架</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个</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12档24口，冷轧钢板，19英寸1U机架式，黑色</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109</w:t>
            </w: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6</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明装86型塑料底盒</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个</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明装86型塑料底盒，白色</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1039</w:t>
            </w: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7</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MS Gothic" w:hAnsi="MS Gothic" w:eastAsia="MS Gothic" w:cs="MS Gothic"/>
                <w:kern w:val="0"/>
                <w:sz w:val="22"/>
              </w:rPr>
              <w:t>∅</w:t>
            </w:r>
            <w:r>
              <w:rPr>
                <w:rFonts w:hint="eastAsia" w:ascii="宋体" w:hAnsi="宋体" w:cs="宋体"/>
                <w:kern w:val="0"/>
                <w:sz w:val="22"/>
              </w:rPr>
              <w:t>20镀锌线管</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米</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MS Gothic" w:hAnsi="MS Gothic" w:eastAsia="MS Gothic" w:cs="MS Gothic"/>
                <w:kern w:val="0"/>
                <w:sz w:val="22"/>
              </w:rPr>
              <w:t>∅</w:t>
            </w:r>
            <w:r>
              <w:rPr>
                <w:rFonts w:hint="eastAsia" w:ascii="宋体" w:hAnsi="宋体" w:cs="宋体"/>
                <w:kern w:val="0"/>
                <w:sz w:val="22"/>
              </w:rPr>
              <w:t>20镀锌线管</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3117</w:t>
            </w: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8</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20*10塑料线槽</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米</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20*10塑料线槽</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3117</w:t>
            </w: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9</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内网核心交换机</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台</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10</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外网核心交换机</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台</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10</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内网汇聚交换机</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台</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11</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外网汇聚交换机</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台</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12</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内网24口接入交换机</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台</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院方在库材料</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62</w:t>
            </w: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13</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外网24口接入交换机</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台</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院方在库材料</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47</w:t>
            </w: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14</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10G FSP+光模块</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个</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15</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16波波分复用器</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套</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16</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16波波分解复用器</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套</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17</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sdn控制器</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套</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融合部署，统一UI体验，支持在单台服务器上，同时融合部署AD-Campus控制、分析、EIA、DHCP、网络管理等软件产品的能力，实现统一门户，统一UI体验。融合管理运维功能，支持交换机、无线设备、PON、安全设备、BRAS设备一网统管运维。</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w:t>
            </w: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18</w:t>
            </w:r>
          </w:p>
        </w:tc>
        <w:tc>
          <w:tcPr>
            <w:tcW w:w="267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光链路检测管理平台</w:t>
            </w:r>
          </w:p>
        </w:tc>
        <w:tc>
          <w:tcPr>
            <w:tcW w:w="70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套</w:t>
            </w:r>
          </w:p>
        </w:tc>
        <w:tc>
          <w:tcPr>
            <w:tcW w:w="255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支持每路光路状态监控，可直观查看设备端口的状态；</w:t>
            </w:r>
            <w:r>
              <w:rPr>
                <w:rFonts w:hint="eastAsia" w:ascii="宋体" w:hAnsi="宋体" w:cs="宋体"/>
                <w:kern w:val="0"/>
                <w:sz w:val="22"/>
              </w:rPr>
              <w:br w:type="textWrapping"/>
            </w:r>
            <w:r>
              <w:rPr>
                <w:rFonts w:hint="eastAsia" w:ascii="宋体" w:hAnsi="宋体" w:cs="宋体"/>
                <w:kern w:val="0"/>
                <w:sz w:val="22"/>
              </w:rPr>
              <w:t>支持光路状态告警，支持历史告警查询；</w:t>
            </w:r>
            <w:r>
              <w:rPr>
                <w:rFonts w:hint="eastAsia" w:ascii="宋体" w:hAnsi="宋体" w:cs="宋体"/>
                <w:kern w:val="0"/>
                <w:sz w:val="22"/>
              </w:rPr>
              <w:br w:type="textWrapping"/>
            </w:r>
            <w:r>
              <w:rPr>
                <w:rFonts w:hint="eastAsia" w:ascii="宋体" w:hAnsi="宋体" w:cs="宋体"/>
                <w:kern w:val="0"/>
                <w:sz w:val="22"/>
              </w:rPr>
              <w:t>支持设备的各项指标监测；</w:t>
            </w:r>
            <w:r>
              <w:rPr>
                <w:rFonts w:hint="eastAsia" w:ascii="宋体" w:hAnsi="宋体" w:cs="宋体"/>
                <w:kern w:val="0"/>
                <w:sz w:val="22"/>
              </w:rPr>
              <w:br w:type="textWrapping"/>
            </w:r>
            <w:r>
              <w:rPr>
                <w:rFonts w:hint="eastAsia" w:ascii="宋体" w:hAnsi="宋体" w:cs="宋体"/>
                <w:kern w:val="0"/>
                <w:sz w:val="22"/>
              </w:rPr>
              <w:t>支持光路资源管理，包含位置，节点信息，对端节点信息等；</w:t>
            </w:r>
            <w:r>
              <w:rPr>
                <w:rFonts w:hint="eastAsia" w:ascii="宋体" w:hAnsi="宋体" w:cs="宋体"/>
                <w:kern w:val="0"/>
                <w:sz w:val="22"/>
              </w:rPr>
              <w:br w:type="textWrapping"/>
            </w:r>
            <w:r>
              <w:rPr>
                <w:rFonts w:hint="eastAsia" w:ascii="宋体" w:hAnsi="宋体" w:cs="宋体"/>
                <w:kern w:val="0"/>
                <w:sz w:val="22"/>
              </w:rPr>
              <w:t>支持设备可视化管理，可直观的查看设备板卡信息及状态；</w:t>
            </w:r>
          </w:p>
        </w:tc>
        <w:tc>
          <w:tcPr>
            <w:tcW w:w="76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w:t>
            </w:r>
          </w:p>
        </w:tc>
        <w:tc>
          <w:tcPr>
            <w:tcW w:w="766" w:type="dxa"/>
            <w:tcBorders>
              <w:top w:val="nil"/>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19</w:t>
            </w:r>
          </w:p>
        </w:tc>
        <w:tc>
          <w:tcPr>
            <w:tcW w:w="2677"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原有弱电线槽整理</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项</w:t>
            </w:r>
          </w:p>
        </w:tc>
        <w:tc>
          <w:tcPr>
            <w:tcW w:w="255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宋体" w:hAnsi="宋体" w:cs="宋体"/>
                <w:kern w:val="0"/>
                <w:sz w:val="22"/>
              </w:rPr>
              <w:t>原有线槽整理3400米</w:t>
            </w:r>
          </w:p>
        </w:tc>
        <w:tc>
          <w:tcPr>
            <w:tcW w:w="76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w:t>
            </w: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r>
        <w:tblPrEx>
          <w:tblCellMar>
            <w:top w:w="0" w:type="dxa"/>
            <w:left w:w="108" w:type="dxa"/>
            <w:bottom w:w="0" w:type="dxa"/>
            <w:right w:w="108" w:type="dxa"/>
          </w:tblCellMar>
        </w:tblPrEx>
        <w:trPr>
          <w:gridAfter w:val="1"/>
          <w:wAfter w:w="11" w:type="dxa"/>
          <w:trHeight w:val="840" w:hRule="atLeast"/>
        </w:trPr>
        <w:tc>
          <w:tcPr>
            <w:tcW w:w="72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2</w:t>
            </w:r>
            <w:r>
              <w:rPr>
                <w:rFonts w:ascii="宋体" w:hAnsi="宋体" w:cs="宋体"/>
                <w:kern w:val="0"/>
                <w:sz w:val="22"/>
              </w:rPr>
              <w:t>0</w:t>
            </w:r>
          </w:p>
        </w:tc>
        <w:tc>
          <w:tcPr>
            <w:tcW w:w="2677"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Theme="minorEastAsia" w:hAnsiTheme="minorEastAsia" w:eastAsiaTheme="minorEastAsia"/>
              </w:rPr>
              <w:t>网络准入许可授权</w:t>
            </w:r>
          </w:p>
        </w:tc>
        <w:tc>
          <w:tcPr>
            <w:tcW w:w="70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项</w:t>
            </w:r>
          </w:p>
        </w:tc>
        <w:tc>
          <w:tcPr>
            <w:tcW w:w="2552"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22"/>
              </w:rPr>
            </w:pPr>
            <w:r>
              <w:rPr>
                <w:rFonts w:hint="eastAsia" w:asciiTheme="minorEastAsia" w:hAnsiTheme="minorEastAsia" w:eastAsiaTheme="minorEastAsia"/>
              </w:rPr>
              <w:t>扩容网络准入安全设备许可授权数量≥8</w:t>
            </w:r>
            <w:r>
              <w:rPr>
                <w:rFonts w:asciiTheme="minorEastAsia" w:hAnsiTheme="minorEastAsia" w:eastAsiaTheme="minorEastAsia"/>
              </w:rPr>
              <w:t>00</w:t>
            </w:r>
            <w:r>
              <w:rPr>
                <w:rFonts w:hint="eastAsia" w:asciiTheme="minorEastAsia" w:hAnsiTheme="minorEastAsia" w:eastAsiaTheme="minorEastAsia"/>
              </w:rPr>
              <w:t>个</w:t>
            </w:r>
          </w:p>
        </w:tc>
        <w:tc>
          <w:tcPr>
            <w:tcW w:w="76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2"/>
              </w:rPr>
            </w:pPr>
            <w:r>
              <w:rPr>
                <w:rFonts w:hint="eastAsia" w:ascii="宋体" w:hAnsi="宋体" w:cs="宋体"/>
                <w:kern w:val="0"/>
                <w:sz w:val="22"/>
              </w:rPr>
              <w:t>1</w:t>
            </w: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nil"/>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c>
          <w:tcPr>
            <w:tcW w:w="766"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 w:val="22"/>
              </w:rPr>
            </w:pPr>
          </w:p>
        </w:tc>
      </w:tr>
    </w:tbl>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highlight w:val="yellow"/>
        </w:rPr>
        <w:t>注：供应商可根据产品技术特点，提供不同的技术解决方案，因此上述可选项（数量列为空的为可变需求）可不同组合，数量也可不同，如缺项可追加。</w:t>
      </w:r>
    </w:p>
    <w:p/>
    <w:p>
      <w:pPr>
        <w:pStyle w:val="33"/>
        <w:ind w:firstLine="480"/>
        <w:rPr>
          <w:rFonts w:ascii="宋体" w:hAnsi="宋体" w:cs="宋体"/>
          <w:sz w:val="24"/>
        </w:rPr>
      </w:pPr>
      <w:r>
        <w:rPr>
          <w:rFonts w:hint="eastAsia" w:ascii="宋体" w:hAnsi="宋体" w:cs="宋体"/>
          <w:sz w:val="24"/>
        </w:rPr>
        <w:t>说明：1、此表可延长，</w:t>
      </w:r>
    </w:p>
    <w:p>
      <w:pPr>
        <w:rPr>
          <w:rFonts w:ascii="宋体" w:hAnsi="宋体" w:cs="宋体"/>
          <w:sz w:val="24"/>
          <w:szCs w:val="24"/>
        </w:rPr>
      </w:pPr>
      <w:r>
        <w:rPr>
          <w:rFonts w:hint="eastAsia" w:ascii="宋体" w:hAnsi="宋体" w:cs="宋体"/>
          <w:sz w:val="24"/>
          <w:szCs w:val="24"/>
        </w:rPr>
        <w:t xml:space="preserve">     </w:t>
      </w:r>
      <w:r>
        <w:rPr>
          <w:rFonts w:ascii="宋体" w:hAnsi="宋体" w:cs="宋体"/>
          <w:sz w:val="24"/>
          <w:szCs w:val="24"/>
        </w:rPr>
        <w:t xml:space="preserve">    </w:t>
      </w:r>
      <w:r>
        <w:rPr>
          <w:rFonts w:hint="eastAsia" w:ascii="宋体" w:hAnsi="宋体" w:cs="宋体"/>
          <w:sz w:val="24"/>
          <w:szCs w:val="24"/>
        </w:rPr>
        <w:t xml:space="preserve"> 2、请在“备注”栏注明是否承诺可在签订合同前提供本项目中软件产品的非进口产品情况证明函，如有请标注在响应文件中的页码。</w:t>
      </w:r>
    </w:p>
    <w:p>
      <w:pPr>
        <w:ind w:firstLine="420" w:firstLineChars="200"/>
        <w:contextualSpacing/>
        <w:jc w:val="left"/>
        <w:rPr>
          <w:rFonts w:ascii="宋体" w:hAnsi="宋体"/>
          <w:szCs w:val="21"/>
        </w:rPr>
      </w:pPr>
    </w:p>
    <w:p>
      <w:pPr>
        <w:rPr>
          <w:lang w:val="zh-CN"/>
        </w:rPr>
      </w:pPr>
    </w:p>
    <w:p>
      <w:pPr>
        <w:rPr>
          <w:lang w:val="zh-CN"/>
        </w:rPr>
      </w:pPr>
    </w:p>
    <w:p>
      <w:pPr>
        <w:rPr>
          <w:lang w:val="zh-CN"/>
        </w:rPr>
      </w:pPr>
    </w:p>
    <w:p>
      <w:pPr>
        <w:pStyle w:val="2"/>
        <w:keepNext w:val="0"/>
        <w:keepLines w:val="0"/>
        <w:spacing w:before="0" w:after="0"/>
        <w:rPr>
          <w:rFonts w:ascii="宋体" w:hAnsi="宋体" w:cs="宋体"/>
          <w:b w:val="0"/>
          <w:kern w:val="2"/>
          <w:szCs w:val="24"/>
        </w:rPr>
      </w:pPr>
      <w:r>
        <w:rPr>
          <w:rFonts w:hint="eastAsia" w:ascii="宋体" w:hAnsi="宋体" w:cs="宋体"/>
          <w:kern w:val="2"/>
          <w:szCs w:val="24"/>
        </w:rPr>
        <w:t>附件5 市场调研与需求文件差异一览表</w:t>
      </w:r>
    </w:p>
    <w:p>
      <w:pPr>
        <w:spacing w:line="360" w:lineRule="auto"/>
        <w:rPr>
          <w:rFonts w:ascii="宋体" w:hAnsi="宋体" w:cs="宋体"/>
          <w:b/>
          <w:sz w:val="24"/>
          <w:szCs w:val="24"/>
        </w:rPr>
      </w:pPr>
      <w:r>
        <w:rPr>
          <w:rFonts w:hint="eastAsia" w:ascii="宋体" w:hAnsi="宋体" w:cs="宋体"/>
          <w:sz w:val="24"/>
          <w:szCs w:val="24"/>
        </w:rPr>
        <w:t xml:space="preserve">                                           </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698"/>
        <w:gridCol w:w="2280"/>
        <w:gridCol w:w="1765"/>
        <w:gridCol w:w="2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r>
              <w:rPr>
                <w:rFonts w:hint="eastAsia" w:ascii="宋体" w:hAnsi="宋体" w:cs="宋体"/>
                <w:b/>
                <w:sz w:val="24"/>
                <w:szCs w:val="24"/>
              </w:rPr>
              <w:t>序号</w:t>
            </w:r>
          </w:p>
        </w:tc>
        <w:tc>
          <w:tcPr>
            <w:tcW w:w="1698" w:type="dxa"/>
          </w:tcPr>
          <w:p>
            <w:pPr>
              <w:spacing w:line="360" w:lineRule="auto"/>
              <w:jc w:val="center"/>
              <w:rPr>
                <w:rFonts w:ascii="宋体" w:hAnsi="宋体" w:cs="宋体"/>
                <w:b/>
                <w:sz w:val="24"/>
                <w:szCs w:val="24"/>
              </w:rPr>
            </w:pPr>
            <w:r>
              <w:rPr>
                <w:rFonts w:hint="eastAsia" w:ascii="宋体" w:hAnsi="宋体" w:cs="宋体"/>
                <w:b/>
                <w:sz w:val="24"/>
                <w:szCs w:val="24"/>
              </w:rPr>
              <w:t>需求文件要求</w:t>
            </w:r>
          </w:p>
        </w:tc>
        <w:tc>
          <w:tcPr>
            <w:tcW w:w="2280" w:type="dxa"/>
          </w:tcPr>
          <w:p>
            <w:pPr>
              <w:spacing w:line="360" w:lineRule="auto"/>
              <w:jc w:val="center"/>
              <w:rPr>
                <w:rFonts w:ascii="宋体" w:hAnsi="宋体" w:cs="宋体"/>
                <w:b/>
                <w:sz w:val="24"/>
                <w:szCs w:val="24"/>
              </w:rPr>
            </w:pPr>
            <w:r>
              <w:rPr>
                <w:rFonts w:hint="eastAsia" w:ascii="宋体" w:hAnsi="宋体" w:cs="宋体"/>
                <w:b/>
                <w:sz w:val="24"/>
                <w:szCs w:val="24"/>
              </w:rPr>
              <w:t>市场调研响应</w:t>
            </w:r>
          </w:p>
        </w:tc>
        <w:tc>
          <w:tcPr>
            <w:tcW w:w="1765" w:type="dxa"/>
          </w:tcPr>
          <w:p>
            <w:pPr>
              <w:spacing w:line="360" w:lineRule="auto"/>
              <w:jc w:val="center"/>
              <w:rPr>
                <w:rFonts w:ascii="宋体" w:hAnsi="宋体" w:cs="宋体"/>
                <w:b/>
                <w:sz w:val="24"/>
                <w:szCs w:val="24"/>
              </w:rPr>
            </w:pPr>
            <w:r>
              <w:rPr>
                <w:rFonts w:hint="eastAsia" w:ascii="宋体" w:hAnsi="宋体" w:cs="宋体"/>
                <w:b/>
                <w:sz w:val="24"/>
                <w:szCs w:val="24"/>
              </w:rPr>
              <w:t>差异</w:t>
            </w:r>
          </w:p>
        </w:tc>
        <w:tc>
          <w:tcPr>
            <w:tcW w:w="2462" w:type="dxa"/>
          </w:tcPr>
          <w:p>
            <w:pPr>
              <w:spacing w:line="360" w:lineRule="auto"/>
              <w:jc w:val="center"/>
              <w:rPr>
                <w:rFonts w:ascii="宋体" w:hAnsi="宋体" w:cs="宋体"/>
                <w:b/>
                <w:sz w:val="24"/>
                <w:szCs w:val="24"/>
              </w:rPr>
            </w:pPr>
            <w:r>
              <w:rPr>
                <w:rFonts w:hint="eastAsia" w:ascii="宋体" w:hAnsi="宋体" w:cs="宋体"/>
                <w:b/>
                <w:sz w:val="24"/>
                <w:szCs w:val="24"/>
              </w:rPr>
              <w:t>差异原因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4"/>
                <w:szCs w:val="24"/>
              </w:rPr>
            </w:pPr>
          </w:p>
        </w:tc>
        <w:tc>
          <w:tcPr>
            <w:tcW w:w="1698" w:type="dxa"/>
          </w:tcPr>
          <w:p>
            <w:pPr>
              <w:spacing w:line="360" w:lineRule="auto"/>
              <w:jc w:val="center"/>
              <w:rPr>
                <w:rFonts w:ascii="宋体" w:hAnsi="宋体" w:cs="宋体"/>
                <w:b/>
                <w:sz w:val="24"/>
                <w:szCs w:val="24"/>
              </w:rPr>
            </w:pPr>
          </w:p>
        </w:tc>
        <w:tc>
          <w:tcPr>
            <w:tcW w:w="2280" w:type="dxa"/>
          </w:tcPr>
          <w:p>
            <w:pPr>
              <w:spacing w:line="360" w:lineRule="auto"/>
              <w:jc w:val="center"/>
              <w:rPr>
                <w:rFonts w:ascii="宋体" w:hAnsi="宋体" w:cs="宋体"/>
                <w:b/>
                <w:sz w:val="24"/>
                <w:szCs w:val="24"/>
              </w:rPr>
            </w:pPr>
          </w:p>
        </w:tc>
        <w:tc>
          <w:tcPr>
            <w:tcW w:w="1765" w:type="dxa"/>
          </w:tcPr>
          <w:p>
            <w:pPr>
              <w:spacing w:line="360" w:lineRule="auto"/>
              <w:jc w:val="center"/>
              <w:rPr>
                <w:rFonts w:ascii="宋体" w:hAnsi="宋体" w:cs="宋体"/>
                <w:b/>
                <w:sz w:val="24"/>
                <w:szCs w:val="24"/>
              </w:rPr>
            </w:pPr>
          </w:p>
        </w:tc>
        <w:tc>
          <w:tcPr>
            <w:tcW w:w="2462" w:type="dxa"/>
          </w:tcPr>
          <w:p>
            <w:pPr>
              <w:spacing w:line="360" w:lineRule="auto"/>
              <w:jc w:val="center"/>
              <w:rPr>
                <w:rFonts w:ascii="宋体" w:hAnsi="宋体" w:cs="宋体"/>
                <w:b/>
                <w:sz w:val="24"/>
                <w:szCs w:val="24"/>
              </w:rPr>
            </w:pPr>
          </w:p>
        </w:tc>
      </w:tr>
    </w:tbl>
    <w:p>
      <w:pPr>
        <w:pStyle w:val="51"/>
        <w:widowControl w:val="0"/>
        <w:spacing w:line="360" w:lineRule="auto"/>
        <w:rPr>
          <w:rFonts w:ascii="宋体" w:hAnsi="宋体" w:cs="宋体"/>
        </w:rPr>
      </w:pPr>
      <w:r>
        <w:rPr>
          <w:rFonts w:hint="eastAsia" w:ascii="宋体" w:hAnsi="宋体" w:cs="宋体"/>
        </w:rPr>
        <w:t>（若无差异，此表留空）</w:t>
      </w:r>
    </w:p>
    <w:p>
      <w:pPr>
        <w:pStyle w:val="2"/>
        <w:keepNext w:val="0"/>
        <w:keepLines w:val="0"/>
        <w:spacing w:before="0" w:after="0"/>
        <w:rPr>
          <w:rFonts w:ascii="宋体" w:hAnsi="宋体" w:cs="宋体"/>
          <w:b w:val="0"/>
          <w:kern w:val="2"/>
          <w:szCs w:val="24"/>
        </w:rPr>
      </w:pPr>
      <w:r>
        <w:rPr>
          <w:rFonts w:hint="eastAsia" w:ascii="宋体" w:hAnsi="宋体" w:cs="宋体"/>
          <w:kern w:val="2"/>
          <w:szCs w:val="24"/>
        </w:rPr>
        <w:t>附件6 具体解决方案</w:t>
      </w:r>
    </w:p>
    <w:p>
      <w:pPr>
        <w:ind w:firstLine="480" w:firstLineChars="200"/>
        <w:rPr>
          <w:rFonts w:ascii="宋体" w:hAnsi="宋体" w:cs="宋体"/>
          <w:sz w:val="24"/>
          <w:szCs w:val="24"/>
        </w:rPr>
      </w:pPr>
      <w:r>
        <w:rPr>
          <w:rFonts w:hint="eastAsia" w:ascii="宋体" w:hAnsi="宋体" w:cs="宋体"/>
          <w:sz w:val="24"/>
          <w:szCs w:val="24"/>
        </w:rPr>
        <w:t>提供具体明细解决方案，要求结合软硬件品牌、网络拓扑、建设效果等阐明技术亮点及同行成功案例。</w:t>
      </w:r>
    </w:p>
    <w:p>
      <w:pPr>
        <w:ind w:firstLine="480" w:firstLineChars="200"/>
        <w:rPr>
          <w:rFonts w:ascii="宋体" w:hAnsi="宋体" w:cs="宋体"/>
          <w:sz w:val="24"/>
          <w:szCs w:val="24"/>
        </w:rPr>
      </w:pPr>
    </w:p>
    <w:p>
      <w:pPr>
        <w:pStyle w:val="2"/>
        <w:keepNext w:val="0"/>
        <w:keepLines w:val="0"/>
        <w:spacing w:before="0" w:after="0"/>
        <w:rPr>
          <w:rFonts w:ascii="宋体" w:hAnsi="宋体" w:cs="宋体"/>
          <w:kern w:val="2"/>
          <w:szCs w:val="24"/>
        </w:rPr>
      </w:pPr>
      <w:r>
        <w:rPr>
          <w:rFonts w:hint="eastAsia" w:ascii="宋体" w:hAnsi="宋体" w:cs="宋体"/>
          <w:kern w:val="2"/>
          <w:szCs w:val="24"/>
        </w:rPr>
        <w:t>附件</w:t>
      </w:r>
      <w:r>
        <w:rPr>
          <w:rFonts w:ascii="宋体" w:hAnsi="宋体" w:cs="宋体"/>
          <w:kern w:val="2"/>
          <w:szCs w:val="24"/>
        </w:rPr>
        <w:t>7</w:t>
      </w:r>
      <w:r>
        <w:rPr>
          <w:rFonts w:hint="eastAsia" w:ascii="宋体" w:hAnsi="宋体" w:cs="宋体"/>
          <w:kern w:val="2"/>
          <w:szCs w:val="24"/>
        </w:rPr>
        <w:t xml:space="preserve"> </w:t>
      </w:r>
      <w:r>
        <w:rPr>
          <w:rFonts w:ascii="宋体" w:hAnsi="宋体" w:cs="宋体"/>
          <w:kern w:val="2"/>
          <w:szCs w:val="24"/>
        </w:rPr>
        <w:t xml:space="preserve"> </w:t>
      </w:r>
      <w:r>
        <w:rPr>
          <w:rFonts w:hint="eastAsia" w:ascii="宋体" w:hAnsi="宋体" w:cs="宋体"/>
          <w:kern w:val="2"/>
          <w:szCs w:val="24"/>
        </w:rPr>
        <w:t>其他商务资料</w:t>
      </w:r>
    </w:p>
    <w:p>
      <w:pPr>
        <w:spacing w:line="360" w:lineRule="auto"/>
        <w:jc w:val="center"/>
        <w:rPr>
          <w:b/>
        </w:rPr>
      </w:pPr>
    </w:p>
    <w:p>
      <w:pPr>
        <w:spacing w:line="360" w:lineRule="auto"/>
        <w:ind w:left="630" w:hanging="630" w:hangingChars="300"/>
      </w:pPr>
      <w:r>
        <w:rPr>
          <w:color w:val="FF0000"/>
        </w:rPr>
        <w:t>1</w:t>
      </w:r>
      <w:r>
        <w:rPr>
          <w:rFonts w:hint="eastAsia"/>
          <w:color w:val="FF0000"/>
        </w:rPr>
        <w:t>、公司简介、营业执照扫描件、企业规模声明函、资质证书等。</w:t>
      </w:r>
    </w:p>
    <w:p>
      <w:pPr>
        <w:spacing w:line="360" w:lineRule="auto"/>
        <w:ind w:left="630" w:hanging="630" w:hangingChars="300"/>
        <w:rPr>
          <w:bCs/>
          <w:color w:val="FF0000"/>
          <w:szCs w:val="21"/>
        </w:rPr>
      </w:pPr>
    </w:p>
    <w:p>
      <w:pPr>
        <w:spacing w:line="360" w:lineRule="auto"/>
        <w:ind w:left="630" w:hanging="630" w:hangingChars="300"/>
        <w:rPr>
          <w:bCs/>
          <w:color w:val="FF0000"/>
          <w:szCs w:val="21"/>
        </w:rPr>
      </w:pPr>
      <w:r>
        <w:rPr>
          <w:bCs/>
          <w:color w:val="FF0000"/>
          <w:szCs w:val="21"/>
        </w:rPr>
        <w:t>2</w:t>
      </w:r>
      <w:r>
        <w:rPr>
          <w:rFonts w:hint="eastAsia"/>
          <w:bCs/>
          <w:color w:val="FF0000"/>
          <w:szCs w:val="21"/>
        </w:rPr>
        <w:t>、提供报价依据，可为同类项目合同扫描件</w:t>
      </w:r>
    </w:p>
    <w:p>
      <w:pPr>
        <w:spacing w:line="360" w:lineRule="auto"/>
        <w:ind w:left="630" w:hanging="630" w:hangingChars="300"/>
        <w:rPr>
          <w:bCs/>
          <w:color w:val="FF0000"/>
          <w:szCs w:val="21"/>
        </w:rPr>
      </w:pPr>
    </w:p>
    <w:p>
      <w:pPr>
        <w:spacing w:line="360" w:lineRule="auto"/>
        <w:rPr>
          <w:bCs/>
          <w:color w:val="FF0000"/>
          <w:szCs w:val="21"/>
        </w:rPr>
      </w:pPr>
      <w:r>
        <w:rPr>
          <w:bCs/>
          <w:color w:val="FF0000"/>
          <w:szCs w:val="21"/>
        </w:rPr>
        <w:t>3</w:t>
      </w:r>
      <w:r>
        <w:rPr>
          <w:rFonts w:hint="eastAsia"/>
          <w:bCs/>
          <w:color w:val="FF0000"/>
          <w:szCs w:val="21"/>
        </w:rPr>
        <w:t>、现场提交的本文件内容需盖单位公章或业务章。</w:t>
      </w:r>
    </w:p>
    <w:p>
      <w:pPr>
        <w:spacing w:line="360" w:lineRule="auto"/>
        <w:rPr>
          <w:bCs/>
          <w:color w:val="FF0000"/>
          <w:szCs w:val="21"/>
        </w:rPr>
      </w:pPr>
    </w:p>
    <w:p>
      <w:pPr>
        <w:ind w:firstLine="480" w:firstLineChars="200"/>
        <w:rPr>
          <w:rFonts w:ascii="宋体" w:hAnsi="宋体" w:cs="宋体"/>
          <w:sz w:val="24"/>
          <w:szCs w:val="24"/>
        </w:rPr>
      </w:pPr>
    </w:p>
    <w:sectPr>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30304000000000000"/>
    <w:charset w:val="86"/>
    <w:family w:val="auto"/>
    <w:pitch w:val="default"/>
    <w:sig w:usb0="E7FFAEFF" w:usb1="F9FFFFFF" w:usb2="000FFDFF" w:usb3="00000000" w:csb0="603F01FF" w:csb1="FFFF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等线 Light">
    <w:altName w:val="华文宋体"/>
    <w:panose1 w:val="02010600030101010101"/>
    <w:charset w:val="86"/>
    <w:family w:val="auto"/>
    <w:pitch w:val="default"/>
    <w:sig w:usb0="00000000" w:usb1="00000000" w:usb2="00000016" w:usb3="00000000" w:csb0="0004000F" w:csb1="00000000"/>
  </w:font>
  <w:font w:name="华文宋体">
    <w:panose1 w:val="02010600040101010101"/>
    <w:charset w:val="86"/>
    <w:family w:val="auto"/>
    <w:pitch w:val="default"/>
    <w:sig w:usb0="00000287" w:usb1="080F0000" w:usb2="00000000" w:usb3="00000000" w:csb0="0004009F" w:csb1="DFD7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Courier New">
    <w:panose1 w:val="02070309020205020404"/>
    <w:charset w:val="00"/>
    <w:family w:val="modern"/>
    <w:pitch w:val="default"/>
    <w:sig w:usb0="E0002AFF" w:usb1="C0007843" w:usb2="00000009" w:usb3="00000000" w:csb0="400001FF" w:csb1="FFFF0000"/>
  </w:font>
  <w:font w:name="Gotham-Light">
    <w:altName w:val="Arial"/>
    <w:panose1 w:val="020B0604020202020204"/>
    <w:charset w:val="00"/>
    <w:family w:val="roman"/>
    <w:pitch w:val="default"/>
    <w:sig w:usb0="00000000" w:usb1="00000000" w:usb2="00000000" w:usb3="00000000" w:csb0="00000000" w:csb1="00000000"/>
  </w:font>
  <w:font w:name="DFPHeiW3-Identity-H">
    <w:altName w:val="Arial"/>
    <w:panose1 w:val="020B0604020202020204"/>
    <w:charset w:val="00"/>
    <w:family w:val="roman"/>
    <w:pitch w:val="default"/>
    <w:sig w:usb0="00000000" w:usb1="00000000" w:usb2="00000000" w:usb3="00000000" w:csb0="00000000" w:csb1="00000000"/>
  </w:font>
  <w:font w:name="DFPHeiW7">
    <w:altName w:val="仿宋_GB2312"/>
    <w:panose1 w:val="020B0604020202020204"/>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华文楷体">
    <w:altName w:val="楷体_GB2312"/>
    <w:panose1 w:val="02010600040101010101"/>
    <w:charset w:val="86"/>
    <w:family w:val="auto"/>
    <w:pitch w:val="default"/>
    <w:sig w:usb0="00000000" w:usb1="00000000" w:usb2="00000010" w:usb3="00000000" w:csb0="0004009F" w:csb1="00000000"/>
  </w:font>
  <w:font w:name="楷体_GB2312">
    <w:panose1 w:val="02010609030101010101"/>
    <w:charset w:val="86"/>
    <w:family w:val="auto"/>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微软雅黑">
    <w:altName w:val="汉仪旗黑KW 55S"/>
    <w:panose1 w:val="020B0503020204020204"/>
    <w:charset w:val="86"/>
    <w:family w:val="swiss"/>
    <w:pitch w:val="default"/>
    <w:sig w:usb0="00000000" w:usb1="00000000" w:usb2="00000016" w:usb3="00000000" w:csb0="0004001F" w:csb1="00000000"/>
  </w:font>
  <w:font w:name="汉仪旗黑KW 55S">
    <w:panose1 w:val="00020600040101010101"/>
    <w:charset w:val="86"/>
    <w:family w:val="auto"/>
    <w:pitch w:val="default"/>
    <w:sig w:usb0="A00002BF" w:usb1="3ACF7CFA" w:usb2="00000016" w:usb3="00000000" w:csb0="0004009F" w:csb1="DFD70000"/>
  </w:font>
  <w:font w:name="Times">
    <w:altName w:val="Times New Roman"/>
    <w:panose1 w:val="020B0604020202020204"/>
    <w:charset w:val="00"/>
    <w:family w:val="auto"/>
    <w:pitch w:val="default"/>
    <w:sig w:usb0="00000000" w:usb1="00000000" w:usb2="00000000" w:usb3="00000000" w:csb0="00000001" w:csb1="00000000"/>
  </w:font>
  <w:font w:name="MS Gothic">
    <w:altName w:val="宋体"/>
    <w:panose1 w:val="020B0609070205080204"/>
    <w:charset w:val="80"/>
    <w:family w:val="modern"/>
    <w:pitch w:val="default"/>
    <w:sig w:usb0="00000000" w:usb1="00000000"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832A5E"/>
    <w:multiLevelType w:val="multilevel"/>
    <w:tmpl w:val="10832A5E"/>
    <w:lvl w:ilvl="0" w:tentative="0">
      <w:start w:val="1"/>
      <w:numFmt w:val="chineseCountingThousand"/>
      <w:lvlText w:val="%1、"/>
      <w:lvlJc w:val="left"/>
      <w:pPr>
        <w:tabs>
          <w:tab w:val="left" w:pos="720"/>
        </w:tabs>
        <w:ind w:left="720" w:hanging="7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D5755D3"/>
    <w:multiLevelType w:val="multilevel"/>
    <w:tmpl w:val="1D5755D3"/>
    <w:lvl w:ilvl="0" w:tentative="0">
      <w:start w:val="1"/>
      <w:numFmt w:val="bullet"/>
      <w:pStyle w:val="109"/>
      <w:lvlText w:val=""/>
      <w:lvlJc w:val="left"/>
      <w:pPr>
        <w:tabs>
          <w:tab w:val="left" w:pos="2126"/>
        </w:tabs>
        <w:ind w:left="2126" w:hanging="425"/>
      </w:pPr>
      <w:rPr>
        <w:rFonts w:hint="default" w:ascii="Wingdings" w:hAnsi="Wingdings" w:cs="Wingdings"/>
        <w:b w:val="0"/>
        <w:bCs w:val="0"/>
        <w:i w:val="0"/>
        <w:iCs w:val="0"/>
        <w:caps w:val="0"/>
        <w:strike w:val="0"/>
        <w:dstrike w:val="0"/>
        <w:vanish w:val="0"/>
        <w:color w:val="000000"/>
        <w:spacing w:val="0"/>
        <w:w w:val="100"/>
        <w:position w:val="2"/>
        <w:sz w:val="16"/>
        <w:szCs w:val="16"/>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1E780D52"/>
    <w:multiLevelType w:val="multilevel"/>
    <w:tmpl w:val="1E780D52"/>
    <w:lvl w:ilvl="0" w:tentative="0">
      <w:start w:val="1"/>
      <w:numFmt w:val="bullet"/>
      <w:pStyle w:val="86"/>
      <w:lvlText w:val=""/>
      <w:lvlJc w:val="left"/>
      <w:pPr>
        <w:ind w:left="1021" w:hanging="454"/>
      </w:pPr>
      <w:rPr>
        <w:rFonts w:hint="default" w:ascii="Wingdings" w:hAnsi="Wingdings"/>
      </w:rPr>
    </w:lvl>
    <w:lvl w:ilvl="1" w:tentative="0">
      <w:start w:val="1"/>
      <w:numFmt w:val="bullet"/>
      <w:lvlText w:val="o"/>
      <w:lvlJc w:val="left"/>
      <w:pPr>
        <w:ind w:left="1894" w:hanging="360"/>
      </w:pPr>
      <w:rPr>
        <w:rFonts w:hint="default" w:ascii="Courier New" w:hAnsi="Courier New"/>
      </w:rPr>
    </w:lvl>
    <w:lvl w:ilvl="2" w:tentative="0">
      <w:start w:val="1"/>
      <w:numFmt w:val="bullet"/>
      <w:lvlText w:val=""/>
      <w:lvlJc w:val="left"/>
      <w:pPr>
        <w:ind w:left="2614" w:hanging="360"/>
      </w:pPr>
      <w:rPr>
        <w:rFonts w:hint="default" w:ascii="Wingdings" w:hAnsi="Wingdings"/>
      </w:rPr>
    </w:lvl>
    <w:lvl w:ilvl="3" w:tentative="0">
      <w:start w:val="1"/>
      <w:numFmt w:val="bullet"/>
      <w:lvlText w:val=""/>
      <w:lvlJc w:val="left"/>
      <w:pPr>
        <w:ind w:left="3334" w:hanging="360"/>
      </w:pPr>
      <w:rPr>
        <w:rFonts w:hint="default" w:ascii="Symbol" w:hAnsi="Symbol"/>
      </w:rPr>
    </w:lvl>
    <w:lvl w:ilvl="4" w:tentative="0">
      <w:start w:val="1"/>
      <w:numFmt w:val="bullet"/>
      <w:lvlText w:val="o"/>
      <w:lvlJc w:val="left"/>
      <w:pPr>
        <w:ind w:left="4054" w:hanging="360"/>
      </w:pPr>
      <w:rPr>
        <w:rFonts w:hint="default" w:ascii="Courier New" w:hAnsi="Courier New"/>
      </w:rPr>
    </w:lvl>
    <w:lvl w:ilvl="5" w:tentative="0">
      <w:start w:val="1"/>
      <w:numFmt w:val="bullet"/>
      <w:lvlText w:val=""/>
      <w:lvlJc w:val="left"/>
      <w:pPr>
        <w:ind w:left="4774" w:hanging="360"/>
      </w:pPr>
      <w:rPr>
        <w:rFonts w:hint="default" w:ascii="Wingdings" w:hAnsi="Wingdings"/>
      </w:rPr>
    </w:lvl>
    <w:lvl w:ilvl="6" w:tentative="0">
      <w:start w:val="1"/>
      <w:numFmt w:val="bullet"/>
      <w:lvlText w:val=""/>
      <w:lvlJc w:val="left"/>
      <w:pPr>
        <w:ind w:left="5494" w:hanging="360"/>
      </w:pPr>
      <w:rPr>
        <w:rFonts w:hint="default" w:ascii="Symbol" w:hAnsi="Symbol"/>
      </w:rPr>
    </w:lvl>
    <w:lvl w:ilvl="7" w:tentative="0">
      <w:start w:val="1"/>
      <w:numFmt w:val="bullet"/>
      <w:lvlText w:val="o"/>
      <w:lvlJc w:val="left"/>
      <w:pPr>
        <w:ind w:left="6214" w:hanging="360"/>
      </w:pPr>
      <w:rPr>
        <w:rFonts w:hint="default" w:ascii="Courier New" w:hAnsi="Courier New"/>
      </w:rPr>
    </w:lvl>
    <w:lvl w:ilvl="8" w:tentative="0">
      <w:start w:val="1"/>
      <w:numFmt w:val="bullet"/>
      <w:lvlText w:val=""/>
      <w:lvlJc w:val="left"/>
      <w:pPr>
        <w:ind w:left="6934" w:hanging="360"/>
      </w:pPr>
      <w:rPr>
        <w:rFonts w:hint="default" w:ascii="Wingdings" w:hAnsi="Wingdings"/>
      </w:rPr>
    </w:lvl>
  </w:abstractNum>
  <w:abstractNum w:abstractNumId="3">
    <w:nsid w:val="50A34D4E"/>
    <w:multiLevelType w:val="multilevel"/>
    <w:tmpl w:val="50A34D4E"/>
    <w:lvl w:ilvl="0" w:tentative="0">
      <w:start w:val="1"/>
      <w:numFmt w:val="bullet"/>
      <w:pStyle w:val="85"/>
      <w:lvlText w:val=""/>
      <w:lvlJc w:val="left"/>
      <w:pPr>
        <w:ind w:left="846" w:hanging="420"/>
      </w:pPr>
      <w:rPr>
        <w:rFonts w:hint="default" w:ascii="Wingdings" w:hAnsi="Wingdings"/>
      </w:rPr>
    </w:lvl>
    <w:lvl w:ilvl="1" w:tentative="0">
      <w:start w:val="1"/>
      <w:numFmt w:val="bullet"/>
      <w:lvlText w:val=""/>
      <w:lvlJc w:val="left"/>
      <w:pPr>
        <w:ind w:left="1266" w:hanging="420"/>
      </w:pPr>
      <w:rPr>
        <w:rFonts w:hint="default" w:ascii="Wingdings" w:hAnsi="Wingdings"/>
      </w:rPr>
    </w:lvl>
    <w:lvl w:ilvl="2" w:tentative="0">
      <w:start w:val="1"/>
      <w:numFmt w:val="bullet"/>
      <w:lvlText w:val=""/>
      <w:lvlJc w:val="left"/>
      <w:pPr>
        <w:ind w:left="1686" w:hanging="420"/>
      </w:pPr>
      <w:rPr>
        <w:rFonts w:hint="default" w:ascii="Wingdings" w:hAnsi="Wingdings"/>
      </w:rPr>
    </w:lvl>
    <w:lvl w:ilvl="3" w:tentative="0">
      <w:start w:val="1"/>
      <w:numFmt w:val="bullet"/>
      <w:lvlText w:val=""/>
      <w:lvlJc w:val="left"/>
      <w:pPr>
        <w:ind w:left="2106" w:hanging="420"/>
      </w:pPr>
      <w:rPr>
        <w:rFonts w:hint="default" w:ascii="Wingdings" w:hAnsi="Wingdings"/>
      </w:rPr>
    </w:lvl>
    <w:lvl w:ilvl="4" w:tentative="0">
      <w:start w:val="1"/>
      <w:numFmt w:val="bullet"/>
      <w:lvlText w:val=""/>
      <w:lvlJc w:val="left"/>
      <w:pPr>
        <w:ind w:left="2526" w:hanging="420"/>
      </w:pPr>
      <w:rPr>
        <w:rFonts w:hint="default" w:ascii="Wingdings" w:hAnsi="Wingdings"/>
      </w:rPr>
    </w:lvl>
    <w:lvl w:ilvl="5" w:tentative="0">
      <w:start w:val="1"/>
      <w:numFmt w:val="bullet"/>
      <w:lvlText w:val=""/>
      <w:lvlJc w:val="left"/>
      <w:pPr>
        <w:ind w:left="2946" w:hanging="420"/>
      </w:pPr>
      <w:rPr>
        <w:rFonts w:hint="default" w:ascii="Wingdings" w:hAnsi="Wingdings"/>
      </w:rPr>
    </w:lvl>
    <w:lvl w:ilvl="6" w:tentative="0">
      <w:start w:val="1"/>
      <w:numFmt w:val="bullet"/>
      <w:lvlText w:val=""/>
      <w:lvlJc w:val="left"/>
      <w:pPr>
        <w:ind w:left="3366" w:hanging="420"/>
      </w:pPr>
      <w:rPr>
        <w:rFonts w:hint="default" w:ascii="Wingdings" w:hAnsi="Wingdings"/>
      </w:rPr>
    </w:lvl>
    <w:lvl w:ilvl="7" w:tentative="0">
      <w:start w:val="1"/>
      <w:numFmt w:val="bullet"/>
      <w:lvlText w:val=""/>
      <w:lvlJc w:val="left"/>
      <w:pPr>
        <w:ind w:left="3786" w:hanging="420"/>
      </w:pPr>
      <w:rPr>
        <w:rFonts w:hint="default" w:ascii="Wingdings" w:hAnsi="Wingdings"/>
      </w:rPr>
    </w:lvl>
    <w:lvl w:ilvl="8" w:tentative="0">
      <w:start w:val="1"/>
      <w:numFmt w:val="bullet"/>
      <w:lvlText w:val=""/>
      <w:lvlJc w:val="left"/>
      <w:pPr>
        <w:ind w:left="4206" w:hanging="420"/>
      </w:pPr>
      <w:rPr>
        <w:rFonts w:hint="default" w:ascii="Wingdings" w:hAnsi="Wingdings"/>
      </w:rPr>
    </w:lvl>
  </w:abstractNum>
  <w:abstractNum w:abstractNumId="4">
    <w:nsid w:val="53C97F65"/>
    <w:multiLevelType w:val="multilevel"/>
    <w:tmpl w:val="53C97F65"/>
    <w:lvl w:ilvl="0" w:tentative="0">
      <w:start w:val="1"/>
      <w:numFmt w:val="decimal"/>
      <w:pStyle w:val="89"/>
      <w:suff w:val="space"/>
      <w:lvlText w:val="%1"/>
      <w:lvlJc w:val="left"/>
      <w:pPr>
        <w:ind w:left="227" w:hanging="227"/>
      </w:pPr>
      <w:rPr>
        <w:rFonts w:hint="eastAsia"/>
      </w:rPr>
    </w:lvl>
    <w:lvl w:ilvl="1" w:tentative="0">
      <w:start w:val="1"/>
      <w:numFmt w:val="decimal"/>
      <w:pStyle w:val="90"/>
      <w:suff w:val="space"/>
      <w:lvlText w:val="%1.%2"/>
      <w:lvlJc w:val="left"/>
      <w:pPr>
        <w:ind w:left="227" w:hanging="227"/>
      </w:pPr>
      <w:rPr>
        <w:rFonts w:hint="eastAsia"/>
      </w:rPr>
    </w:lvl>
    <w:lvl w:ilvl="2" w:tentative="0">
      <w:start w:val="1"/>
      <w:numFmt w:val="decimal"/>
      <w:pStyle w:val="91"/>
      <w:suff w:val="space"/>
      <w:lvlText w:val="%1.%2.%3"/>
      <w:lvlJc w:val="left"/>
      <w:pPr>
        <w:ind w:left="227" w:hanging="227"/>
      </w:pPr>
      <w:rPr>
        <w:rFonts w:hint="eastAsia"/>
      </w:rPr>
    </w:lvl>
    <w:lvl w:ilvl="3" w:tentative="0">
      <w:start w:val="1"/>
      <w:numFmt w:val="decimal"/>
      <w:lvlText w:val="3.2.2.%4"/>
      <w:lvlJc w:val="left"/>
      <w:pPr>
        <w:ind w:left="227" w:hanging="227"/>
      </w:pPr>
      <w:rPr>
        <w:rFonts w:hint="eastAsia"/>
      </w:rPr>
    </w:lvl>
    <w:lvl w:ilvl="4" w:tentative="0">
      <w:start w:val="1"/>
      <w:numFmt w:val="decimal"/>
      <w:suff w:val="space"/>
      <w:lvlText w:val="%1.%2.%3.%4.%5"/>
      <w:lvlJc w:val="left"/>
      <w:pPr>
        <w:ind w:left="227" w:hanging="227"/>
      </w:pPr>
      <w:rPr>
        <w:rFonts w:hint="eastAsia"/>
      </w:rPr>
    </w:lvl>
    <w:lvl w:ilvl="5" w:tentative="0">
      <w:start w:val="1"/>
      <w:numFmt w:val="decimal"/>
      <w:suff w:val="space"/>
      <w:lvlText w:val="%1.%2.%3.%4.%5.%6"/>
      <w:lvlJc w:val="left"/>
      <w:pPr>
        <w:ind w:left="227" w:hanging="227"/>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num w:numId="1">
    <w:abstractNumId w:val="3"/>
  </w:num>
  <w:num w:numId="2">
    <w:abstractNumId w:val="2"/>
  </w:num>
  <w:num w:numId="3">
    <w:abstractNumId w:val="4"/>
  </w:num>
  <w:num w:numId="4">
    <w:abstractNumId w:val="1"/>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458F"/>
    <w:rsid w:val="0000700E"/>
    <w:rsid w:val="00011866"/>
    <w:rsid w:val="000140EB"/>
    <w:rsid w:val="0001476C"/>
    <w:rsid w:val="00027A94"/>
    <w:rsid w:val="00035E49"/>
    <w:rsid w:val="0003746E"/>
    <w:rsid w:val="00040B68"/>
    <w:rsid w:val="0004449A"/>
    <w:rsid w:val="00044A73"/>
    <w:rsid w:val="000477FC"/>
    <w:rsid w:val="0006114B"/>
    <w:rsid w:val="00061A5F"/>
    <w:rsid w:val="000639CD"/>
    <w:rsid w:val="00094694"/>
    <w:rsid w:val="000A03F0"/>
    <w:rsid w:val="000A517F"/>
    <w:rsid w:val="000A7DD6"/>
    <w:rsid w:val="000B5D42"/>
    <w:rsid w:val="000C3F32"/>
    <w:rsid w:val="000C539E"/>
    <w:rsid w:val="000E2F34"/>
    <w:rsid w:val="000E5CE4"/>
    <w:rsid w:val="000F2B9C"/>
    <w:rsid w:val="000F6838"/>
    <w:rsid w:val="000F76E2"/>
    <w:rsid w:val="00100717"/>
    <w:rsid w:val="00103941"/>
    <w:rsid w:val="001143A5"/>
    <w:rsid w:val="00115460"/>
    <w:rsid w:val="001156D6"/>
    <w:rsid w:val="00136BC8"/>
    <w:rsid w:val="00143161"/>
    <w:rsid w:val="001519CA"/>
    <w:rsid w:val="00180D9E"/>
    <w:rsid w:val="00194F7B"/>
    <w:rsid w:val="00195257"/>
    <w:rsid w:val="001A6D83"/>
    <w:rsid w:val="001B65F5"/>
    <w:rsid w:val="001C20B1"/>
    <w:rsid w:val="001D1BCB"/>
    <w:rsid w:val="001D6D8C"/>
    <w:rsid w:val="001E15D6"/>
    <w:rsid w:val="001F1E5F"/>
    <w:rsid w:val="001F3D3B"/>
    <w:rsid w:val="002012F2"/>
    <w:rsid w:val="00206CF2"/>
    <w:rsid w:val="0020757A"/>
    <w:rsid w:val="00210EDA"/>
    <w:rsid w:val="0021491E"/>
    <w:rsid w:val="002224B3"/>
    <w:rsid w:val="00225E3D"/>
    <w:rsid w:val="00226C75"/>
    <w:rsid w:val="00230EBF"/>
    <w:rsid w:val="00237E22"/>
    <w:rsid w:val="00246DA9"/>
    <w:rsid w:val="00246DB4"/>
    <w:rsid w:val="00247E4E"/>
    <w:rsid w:val="002506A6"/>
    <w:rsid w:val="0026267A"/>
    <w:rsid w:val="00291C58"/>
    <w:rsid w:val="002921BD"/>
    <w:rsid w:val="00295648"/>
    <w:rsid w:val="002976F7"/>
    <w:rsid w:val="002A03C0"/>
    <w:rsid w:val="002A1973"/>
    <w:rsid w:val="002A6FFE"/>
    <w:rsid w:val="002C2956"/>
    <w:rsid w:val="002C3BEB"/>
    <w:rsid w:val="002C712A"/>
    <w:rsid w:val="002F404F"/>
    <w:rsid w:val="003001F7"/>
    <w:rsid w:val="00301DE0"/>
    <w:rsid w:val="0030499B"/>
    <w:rsid w:val="003107C0"/>
    <w:rsid w:val="00310E77"/>
    <w:rsid w:val="00311368"/>
    <w:rsid w:val="003224CF"/>
    <w:rsid w:val="00332A12"/>
    <w:rsid w:val="003421CE"/>
    <w:rsid w:val="00343E0D"/>
    <w:rsid w:val="00345259"/>
    <w:rsid w:val="00351F79"/>
    <w:rsid w:val="00360936"/>
    <w:rsid w:val="00363677"/>
    <w:rsid w:val="003700E3"/>
    <w:rsid w:val="00377F94"/>
    <w:rsid w:val="003877F8"/>
    <w:rsid w:val="003A20B3"/>
    <w:rsid w:val="003A3559"/>
    <w:rsid w:val="003A36C5"/>
    <w:rsid w:val="003A792C"/>
    <w:rsid w:val="003B0BC7"/>
    <w:rsid w:val="003B116E"/>
    <w:rsid w:val="003B196B"/>
    <w:rsid w:val="003B7914"/>
    <w:rsid w:val="003C6112"/>
    <w:rsid w:val="003D153F"/>
    <w:rsid w:val="003E6A15"/>
    <w:rsid w:val="00416814"/>
    <w:rsid w:val="0041761B"/>
    <w:rsid w:val="004220B7"/>
    <w:rsid w:val="004362E6"/>
    <w:rsid w:val="00441B7C"/>
    <w:rsid w:val="00450E3F"/>
    <w:rsid w:val="00456D6D"/>
    <w:rsid w:val="00456EB9"/>
    <w:rsid w:val="00466850"/>
    <w:rsid w:val="00476CC5"/>
    <w:rsid w:val="004836CC"/>
    <w:rsid w:val="00484C86"/>
    <w:rsid w:val="00492043"/>
    <w:rsid w:val="004A346E"/>
    <w:rsid w:val="004C2577"/>
    <w:rsid w:val="004D5413"/>
    <w:rsid w:val="004E08BA"/>
    <w:rsid w:val="004E5CDB"/>
    <w:rsid w:val="004F1D1B"/>
    <w:rsid w:val="004F31E5"/>
    <w:rsid w:val="0050381B"/>
    <w:rsid w:val="0050741C"/>
    <w:rsid w:val="005209B2"/>
    <w:rsid w:val="00527B2D"/>
    <w:rsid w:val="00527B31"/>
    <w:rsid w:val="00543B81"/>
    <w:rsid w:val="00556AB0"/>
    <w:rsid w:val="0058292D"/>
    <w:rsid w:val="005843BE"/>
    <w:rsid w:val="0058583D"/>
    <w:rsid w:val="00586D5E"/>
    <w:rsid w:val="005909C5"/>
    <w:rsid w:val="005A0921"/>
    <w:rsid w:val="005A226A"/>
    <w:rsid w:val="005A5A0F"/>
    <w:rsid w:val="005B1023"/>
    <w:rsid w:val="005B2240"/>
    <w:rsid w:val="005B2DA4"/>
    <w:rsid w:val="005C3087"/>
    <w:rsid w:val="005C6852"/>
    <w:rsid w:val="005D2234"/>
    <w:rsid w:val="005D723D"/>
    <w:rsid w:val="005E00F2"/>
    <w:rsid w:val="005E00FC"/>
    <w:rsid w:val="005E1381"/>
    <w:rsid w:val="005E640E"/>
    <w:rsid w:val="005F0AD4"/>
    <w:rsid w:val="006043A3"/>
    <w:rsid w:val="00621731"/>
    <w:rsid w:val="006276A4"/>
    <w:rsid w:val="00627965"/>
    <w:rsid w:val="00631FA9"/>
    <w:rsid w:val="00642A75"/>
    <w:rsid w:val="006448BE"/>
    <w:rsid w:val="006522FA"/>
    <w:rsid w:val="00652C63"/>
    <w:rsid w:val="00665D97"/>
    <w:rsid w:val="00686FB6"/>
    <w:rsid w:val="00687735"/>
    <w:rsid w:val="006A2A5B"/>
    <w:rsid w:val="006A7FDE"/>
    <w:rsid w:val="006B768B"/>
    <w:rsid w:val="006C0754"/>
    <w:rsid w:val="006C4C86"/>
    <w:rsid w:val="006C5D7F"/>
    <w:rsid w:val="006D0F8F"/>
    <w:rsid w:val="006D25D5"/>
    <w:rsid w:val="006D4AE5"/>
    <w:rsid w:val="006D7950"/>
    <w:rsid w:val="006E2219"/>
    <w:rsid w:val="006F3216"/>
    <w:rsid w:val="006F6104"/>
    <w:rsid w:val="007014D0"/>
    <w:rsid w:val="007114E0"/>
    <w:rsid w:val="00717ECD"/>
    <w:rsid w:val="0072548F"/>
    <w:rsid w:val="0073170E"/>
    <w:rsid w:val="00732796"/>
    <w:rsid w:val="0073465C"/>
    <w:rsid w:val="00740E5F"/>
    <w:rsid w:val="00743CA6"/>
    <w:rsid w:val="00752B9E"/>
    <w:rsid w:val="00772291"/>
    <w:rsid w:val="00777306"/>
    <w:rsid w:val="007853F1"/>
    <w:rsid w:val="007A00F2"/>
    <w:rsid w:val="007A3924"/>
    <w:rsid w:val="007C2BB2"/>
    <w:rsid w:val="007C4C74"/>
    <w:rsid w:val="007C5CDC"/>
    <w:rsid w:val="007D111E"/>
    <w:rsid w:val="007D2BF1"/>
    <w:rsid w:val="007E4F06"/>
    <w:rsid w:val="007F0DC3"/>
    <w:rsid w:val="00815790"/>
    <w:rsid w:val="00823463"/>
    <w:rsid w:val="008236E6"/>
    <w:rsid w:val="00833914"/>
    <w:rsid w:val="008357A9"/>
    <w:rsid w:val="00837AB9"/>
    <w:rsid w:val="00845457"/>
    <w:rsid w:val="008524F2"/>
    <w:rsid w:val="008578DE"/>
    <w:rsid w:val="00857E7D"/>
    <w:rsid w:val="0086081E"/>
    <w:rsid w:val="008617C2"/>
    <w:rsid w:val="00873FE5"/>
    <w:rsid w:val="008751F6"/>
    <w:rsid w:val="00883526"/>
    <w:rsid w:val="00885418"/>
    <w:rsid w:val="008A2BA2"/>
    <w:rsid w:val="008E42EA"/>
    <w:rsid w:val="008E4501"/>
    <w:rsid w:val="008E59FD"/>
    <w:rsid w:val="008F2422"/>
    <w:rsid w:val="008F5DD9"/>
    <w:rsid w:val="009036DE"/>
    <w:rsid w:val="00906658"/>
    <w:rsid w:val="00907D10"/>
    <w:rsid w:val="009300B1"/>
    <w:rsid w:val="00932406"/>
    <w:rsid w:val="0094425F"/>
    <w:rsid w:val="0094611C"/>
    <w:rsid w:val="00955A23"/>
    <w:rsid w:val="00960580"/>
    <w:rsid w:val="009613E0"/>
    <w:rsid w:val="00962BC8"/>
    <w:rsid w:val="00967CCE"/>
    <w:rsid w:val="0097417B"/>
    <w:rsid w:val="00974F64"/>
    <w:rsid w:val="009756AE"/>
    <w:rsid w:val="0097689A"/>
    <w:rsid w:val="00994F36"/>
    <w:rsid w:val="009959DD"/>
    <w:rsid w:val="009A2BD5"/>
    <w:rsid w:val="009B071D"/>
    <w:rsid w:val="009B4831"/>
    <w:rsid w:val="009C0015"/>
    <w:rsid w:val="009C05EA"/>
    <w:rsid w:val="009C09B4"/>
    <w:rsid w:val="009C2580"/>
    <w:rsid w:val="009D1D1D"/>
    <w:rsid w:val="009F0796"/>
    <w:rsid w:val="009F56D8"/>
    <w:rsid w:val="00A10F4A"/>
    <w:rsid w:val="00A12A21"/>
    <w:rsid w:val="00A20ADB"/>
    <w:rsid w:val="00A20ECC"/>
    <w:rsid w:val="00A32427"/>
    <w:rsid w:val="00A324F9"/>
    <w:rsid w:val="00A36561"/>
    <w:rsid w:val="00A44F01"/>
    <w:rsid w:val="00A474D2"/>
    <w:rsid w:val="00A47D7A"/>
    <w:rsid w:val="00A53A8F"/>
    <w:rsid w:val="00A5488C"/>
    <w:rsid w:val="00A61EC4"/>
    <w:rsid w:val="00A67D90"/>
    <w:rsid w:val="00A903E6"/>
    <w:rsid w:val="00A921BF"/>
    <w:rsid w:val="00AA5888"/>
    <w:rsid w:val="00AC6152"/>
    <w:rsid w:val="00AE225F"/>
    <w:rsid w:val="00AE2710"/>
    <w:rsid w:val="00AE5221"/>
    <w:rsid w:val="00B062F9"/>
    <w:rsid w:val="00B11762"/>
    <w:rsid w:val="00B15447"/>
    <w:rsid w:val="00B15620"/>
    <w:rsid w:val="00B161E4"/>
    <w:rsid w:val="00B33098"/>
    <w:rsid w:val="00B37614"/>
    <w:rsid w:val="00B432A7"/>
    <w:rsid w:val="00B5346D"/>
    <w:rsid w:val="00B541B4"/>
    <w:rsid w:val="00B66DDC"/>
    <w:rsid w:val="00B67EDF"/>
    <w:rsid w:val="00B8625A"/>
    <w:rsid w:val="00B92755"/>
    <w:rsid w:val="00BA20FF"/>
    <w:rsid w:val="00BB37FD"/>
    <w:rsid w:val="00BC0FCD"/>
    <w:rsid w:val="00BC1540"/>
    <w:rsid w:val="00BE031A"/>
    <w:rsid w:val="00BF2C92"/>
    <w:rsid w:val="00BF423E"/>
    <w:rsid w:val="00C00AD9"/>
    <w:rsid w:val="00C02259"/>
    <w:rsid w:val="00C11E84"/>
    <w:rsid w:val="00C357CF"/>
    <w:rsid w:val="00C4288D"/>
    <w:rsid w:val="00C51977"/>
    <w:rsid w:val="00C532D2"/>
    <w:rsid w:val="00C55942"/>
    <w:rsid w:val="00C575C9"/>
    <w:rsid w:val="00C6416E"/>
    <w:rsid w:val="00C7582D"/>
    <w:rsid w:val="00C827EC"/>
    <w:rsid w:val="00C95CFA"/>
    <w:rsid w:val="00C97557"/>
    <w:rsid w:val="00CA53CC"/>
    <w:rsid w:val="00CB24FF"/>
    <w:rsid w:val="00CC7564"/>
    <w:rsid w:val="00CD36E5"/>
    <w:rsid w:val="00CD4709"/>
    <w:rsid w:val="00D01CAE"/>
    <w:rsid w:val="00D04DB6"/>
    <w:rsid w:val="00D1016B"/>
    <w:rsid w:val="00D2072F"/>
    <w:rsid w:val="00D22C50"/>
    <w:rsid w:val="00D25D56"/>
    <w:rsid w:val="00D3030C"/>
    <w:rsid w:val="00D32FEC"/>
    <w:rsid w:val="00D402BC"/>
    <w:rsid w:val="00D5495F"/>
    <w:rsid w:val="00D63F4A"/>
    <w:rsid w:val="00D6405C"/>
    <w:rsid w:val="00D6554D"/>
    <w:rsid w:val="00D86941"/>
    <w:rsid w:val="00D9122F"/>
    <w:rsid w:val="00D9458F"/>
    <w:rsid w:val="00DA177F"/>
    <w:rsid w:val="00DA6B38"/>
    <w:rsid w:val="00DB371D"/>
    <w:rsid w:val="00DB5B02"/>
    <w:rsid w:val="00DC02FB"/>
    <w:rsid w:val="00DC03D0"/>
    <w:rsid w:val="00DC33B4"/>
    <w:rsid w:val="00DE24EE"/>
    <w:rsid w:val="00DE4D01"/>
    <w:rsid w:val="00DF2C2D"/>
    <w:rsid w:val="00E008A7"/>
    <w:rsid w:val="00E049E5"/>
    <w:rsid w:val="00E169B9"/>
    <w:rsid w:val="00E26E61"/>
    <w:rsid w:val="00E3520E"/>
    <w:rsid w:val="00E36F3C"/>
    <w:rsid w:val="00E3768B"/>
    <w:rsid w:val="00E378EC"/>
    <w:rsid w:val="00E47558"/>
    <w:rsid w:val="00E51E33"/>
    <w:rsid w:val="00E55669"/>
    <w:rsid w:val="00E55ED2"/>
    <w:rsid w:val="00E62788"/>
    <w:rsid w:val="00E6555F"/>
    <w:rsid w:val="00E66BC7"/>
    <w:rsid w:val="00E84BF6"/>
    <w:rsid w:val="00E95E07"/>
    <w:rsid w:val="00E97BB6"/>
    <w:rsid w:val="00EA0394"/>
    <w:rsid w:val="00EA137D"/>
    <w:rsid w:val="00EB1163"/>
    <w:rsid w:val="00ED2FD4"/>
    <w:rsid w:val="00EE2321"/>
    <w:rsid w:val="00EF30DA"/>
    <w:rsid w:val="00EF6970"/>
    <w:rsid w:val="00F03837"/>
    <w:rsid w:val="00F0564F"/>
    <w:rsid w:val="00F05A2E"/>
    <w:rsid w:val="00F0627B"/>
    <w:rsid w:val="00F07D88"/>
    <w:rsid w:val="00F305D6"/>
    <w:rsid w:val="00F36FDC"/>
    <w:rsid w:val="00F40D12"/>
    <w:rsid w:val="00F459FC"/>
    <w:rsid w:val="00F4713B"/>
    <w:rsid w:val="00F530CA"/>
    <w:rsid w:val="00F55CFA"/>
    <w:rsid w:val="00F609D4"/>
    <w:rsid w:val="00F650D7"/>
    <w:rsid w:val="00F728ED"/>
    <w:rsid w:val="00F77851"/>
    <w:rsid w:val="00FA550E"/>
    <w:rsid w:val="00FB4F8A"/>
    <w:rsid w:val="00FC2AA4"/>
    <w:rsid w:val="00FC3355"/>
    <w:rsid w:val="00FE0922"/>
    <w:rsid w:val="00FF2A45"/>
    <w:rsid w:val="00FF497A"/>
    <w:rsid w:val="08266353"/>
    <w:rsid w:val="1B0250DA"/>
    <w:rsid w:val="3B7F0870"/>
    <w:rsid w:val="3D3F9A54"/>
    <w:rsid w:val="4FEC48B8"/>
    <w:rsid w:val="5FFD53BE"/>
    <w:rsid w:val="6FCF7E52"/>
    <w:rsid w:val="773311DF"/>
    <w:rsid w:val="7757504B"/>
    <w:rsid w:val="79FBCCEB"/>
    <w:rsid w:val="7B9FF5F6"/>
    <w:rsid w:val="7D7ECC08"/>
    <w:rsid w:val="7DFC679F"/>
    <w:rsid w:val="9FD2739E"/>
    <w:rsid w:val="AFD67407"/>
    <w:rsid w:val="AFFF2104"/>
    <w:rsid w:val="DF8E45E9"/>
    <w:rsid w:val="F9F71056"/>
    <w:rsid w:val="FEF1BE3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tyleName="APA" SelectedStyle="\APASixthEditionOfficeOnline.xsl" Version="6"/>
</file>

<file path=customXml/itemProps1.xml><?xml version="1.0" encoding="utf-8"?>
<ds:datastoreItem xmlns:ds="http://schemas.openxmlformats.org/officeDocument/2006/customXml" ds:itemID="{9931865B-B7C6-49EF-82F7-B55CBB231216}">
  <ds:schemaRefs/>
</ds:datastoreItem>
</file>