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GoBack"/>
      <w:bookmarkEnd w:id="0"/>
      <w:r>
        <w:rPr>
          <w:rFonts w:hint="eastAsia"/>
          <w:b/>
          <w:sz w:val="36"/>
          <w:szCs w:val="36"/>
        </w:rPr>
        <w:t>广州医科大学附属番禺中心医院综合应急大楼</w:t>
      </w:r>
    </w:p>
    <w:p>
      <w:pPr>
        <w:jc w:val="center"/>
        <w:rPr>
          <w:b/>
          <w:sz w:val="36"/>
          <w:szCs w:val="36"/>
        </w:rPr>
      </w:pPr>
      <w:r>
        <w:rPr>
          <w:rFonts w:hint="eastAsia"/>
          <w:b/>
          <w:sz w:val="36"/>
          <w:szCs w:val="36"/>
        </w:rPr>
        <w:t>电梯建设方案-</w:t>
      </w:r>
      <w:r>
        <w:rPr>
          <w:b/>
          <w:sz w:val="36"/>
          <w:szCs w:val="36"/>
        </w:rPr>
        <w:t>--</w:t>
      </w:r>
      <w:r>
        <w:rPr>
          <w:rFonts w:hint="eastAsia"/>
          <w:b/>
          <w:sz w:val="36"/>
          <w:szCs w:val="36"/>
        </w:rPr>
        <w:t>调研需求书</w:t>
      </w:r>
    </w:p>
    <w:p/>
    <w:p>
      <w:pPr>
        <w:pStyle w:val="19"/>
        <w:numPr>
          <w:ilvl w:val="0"/>
          <w:numId w:val="3"/>
        </w:numPr>
        <w:rPr>
          <w:rFonts w:cs="仿宋"/>
          <w:color w:val="000000"/>
          <w:kern w:val="0"/>
          <w:lang w:bidi="ar"/>
        </w:rPr>
      </w:pPr>
      <w:r>
        <w:rPr>
          <w:rFonts w:hint="eastAsia"/>
        </w:rPr>
        <w:t>项目简要概述：</w:t>
      </w:r>
      <w:r>
        <w:rPr>
          <w:rFonts w:cs="仿宋"/>
          <w:color w:val="000000"/>
          <w:kern w:val="0"/>
          <w:lang w:bidi="ar"/>
        </w:rPr>
        <w:t xml:space="preserve">    </w:t>
      </w:r>
    </w:p>
    <w:p>
      <w:pPr>
        <w:ind w:firstLine="560" w:firstLineChars="200"/>
      </w:pPr>
      <w:r>
        <w:rPr>
          <w:rFonts w:hint="eastAsia"/>
        </w:rPr>
        <w:t>本项目拟在医院现东片区设置平急结合区域，建设一幢综合应急大楼，主要包括</w:t>
      </w:r>
      <w:r>
        <w:t>300床应急床位、科研实验、教学及应急配套功能，东区整体实现平急结合转换功能。项目建成后，区中心医院将建设发展为医疗、教学、科研、预防、康复、急救、健教为一体的高水平三级甲等、具备应对突发公共卫生事件能力的平急结合综合医院。</w:t>
      </w:r>
    </w:p>
    <w:p>
      <w:pPr>
        <w:pStyle w:val="2"/>
      </w:pPr>
    </w:p>
    <w:p>
      <w:pPr>
        <w:pStyle w:val="19"/>
        <w:numPr>
          <w:ilvl w:val="0"/>
          <w:numId w:val="3"/>
        </w:numPr>
      </w:pPr>
      <w:r>
        <w:rPr>
          <w:rFonts w:hint="eastAsia"/>
        </w:rPr>
        <w:t>技术</w:t>
      </w:r>
      <w:r>
        <w:t>/</w:t>
      </w:r>
      <w:r>
        <w:rPr>
          <w:rFonts w:hint="eastAsia"/>
        </w:rPr>
        <w:t>服务要求：</w:t>
      </w:r>
    </w:p>
    <w:p>
      <w:pPr>
        <w:pStyle w:val="19"/>
        <w:numPr>
          <w:ilvl w:val="0"/>
          <w:numId w:val="4"/>
        </w:numPr>
      </w:pPr>
      <w:r>
        <w:rPr>
          <w:rFonts w:hint="eastAsia"/>
        </w:rPr>
        <w:t>项目建设地点：广州市番禺区桥南街福愉东路</w:t>
      </w:r>
      <w:r>
        <w:t>8</w:t>
      </w:r>
      <w:r>
        <w:rPr>
          <w:rFonts w:hint="eastAsia"/>
        </w:rPr>
        <w:t>号。</w:t>
      </w:r>
    </w:p>
    <w:p>
      <w:pPr>
        <w:pStyle w:val="19"/>
        <w:numPr>
          <w:ilvl w:val="0"/>
          <w:numId w:val="0"/>
        </w:numPr>
        <w:ind w:left="420"/>
      </w:pPr>
      <w:r>
        <w:t xml:space="preserve"> </w:t>
      </w:r>
    </w:p>
    <w:p>
      <w:pPr>
        <w:pStyle w:val="19"/>
        <w:numPr>
          <w:ilvl w:val="0"/>
          <w:numId w:val="4"/>
        </w:numPr>
      </w:pPr>
      <w:r>
        <w:rPr>
          <w:rFonts w:hint="eastAsia"/>
        </w:rPr>
        <w:t>大楼的电梯建设内容：</w:t>
      </w:r>
    </w:p>
    <w:p>
      <w:pPr>
        <w:pStyle w:val="19"/>
        <w:numPr>
          <w:ilvl w:val="0"/>
          <w:numId w:val="0"/>
        </w:numPr>
        <w:ind w:left="420" w:leftChars="150" w:firstLine="560" w:firstLineChars="200"/>
      </w:pPr>
      <w:r>
        <w:rPr>
          <w:rFonts w:hint="eastAsia"/>
        </w:rPr>
        <w:t>本项目交通动线以“简明、高效、安全”为设计原则，针对不同的人、物进行梳理分流、疏导，减少不必要的流线交叉。</w:t>
      </w:r>
    </w:p>
    <w:p>
      <w:pPr>
        <w:pStyle w:val="19"/>
        <w:numPr>
          <w:ilvl w:val="0"/>
          <w:numId w:val="0"/>
        </w:numPr>
        <w:ind w:left="420" w:leftChars="150" w:firstLine="560" w:firstLineChars="200"/>
      </w:pPr>
      <w:r>
        <w:t>1.裙楼两端设置独立的垂直交通也可借用塔楼的垂直交通。</w:t>
      </w:r>
    </w:p>
    <w:p>
      <w:pPr>
        <w:pStyle w:val="19"/>
        <w:numPr>
          <w:ilvl w:val="0"/>
          <w:numId w:val="0"/>
        </w:numPr>
        <w:ind w:left="420" w:leftChars="150" w:firstLine="560" w:firstLineChars="200"/>
        <w:rPr>
          <w:rFonts w:hint="eastAsia"/>
        </w:rPr>
      </w:pPr>
      <w:r>
        <w:t>2.塔楼根据不同人群及物流的使用需求洁污分离，污物洁物各有独立的电梯及侯梯厅医护设置专用的电梯及候梯厅，与病人及手术电梯分开设置。</w:t>
      </w:r>
    </w:p>
    <w:p>
      <w:pPr>
        <w:pStyle w:val="19"/>
        <w:numPr>
          <w:ilvl w:val="0"/>
          <w:numId w:val="0"/>
        </w:numPr>
        <w:ind w:left="420" w:leftChars="150" w:firstLine="560" w:firstLineChars="200"/>
        <w:rPr>
          <w:rFonts w:hint="eastAsia"/>
        </w:rPr>
      </w:pPr>
      <w:r>
        <w:rPr>
          <w:rFonts w:hint="eastAsia"/>
        </w:rPr>
        <w:t>3.综合应急大楼与原医院楼群之间的东西连廊的输送带。</w:t>
      </w:r>
    </w:p>
    <w:p>
      <w:pPr>
        <w:pStyle w:val="19"/>
        <w:numPr>
          <w:ilvl w:val="0"/>
          <w:numId w:val="0"/>
        </w:numPr>
        <w:ind w:left="420" w:leftChars="150" w:firstLine="560" w:firstLineChars="200"/>
        <w:rPr>
          <w:rFonts w:hint="eastAsia"/>
        </w:rPr>
      </w:pPr>
      <w:r>
        <w:rPr>
          <w:rFonts w:hint="eastAsia"/>
        </w:rPr>
        <w:t>详细图纸及数量表见附件。</w:t>
      </w:r>
    </w:p>
    <w:p>
      <w:pPr>
        <w:pStyle w:val="19"/>
        <w:numPr>
          <w:ilvl w:val="0"/>
          <w:numId w:val="0"/>
        </w:numPr>
        <w:ind w:left="420" w:leftChars="150" w:firstLine="560" w:firstLineChars="200"/>
      </w:pPr>
    </w:p>
    <w:p>
      <w:pPr>
        <w:pStyle w:val="19"/>
        <w:numPr>
          <w:ilvl w:val="0"/>
          <w:numId w:val="4"/>
        </w:numPr>
        <w:rPr>
          <w:rFonts w:hint="eastAsia"/>
        </w:rPr>
      </w:pPr>
      <w:r>
        <w:rPr>
          <w:rFonts w:hint="eastAsia"/>
        </w:rPr>
        <w:t>对广州医科大学附属番禺中心医院综合应急大楼电梯的</w:t>
      </w:r>
      <w:r>
        <w:t>建设</w:t>
      </w:r>
      <w:r>
        <w:rPr>
          <w:rFonts w:hint="eastAsia"/>
        </w:rPr>
        <w:t>，提供专业的设计方案文件、技术方案文件。并介绍设计方案的依据和相对应的建设标准。</w:t>
      </w:r>
    </w:p>
    <w:p>
      <w:pPr>
        <w:pStyle w:val="19"/>
        <w:numPr>
          <w:ilvl w:val="0"/>
          <w:numId w:val="0"/>
        </w:numPr>
        <w:ind w:left="420"/>
      </w:pPr>
    </w:p>
    <w:p>
      <w:pPr>
        <w:pStyle w:val="2"/>
        <w:numPr>
          <w:ilvl w:val="0"/>
          <w:numId w:val="3"/>
        </w:numPr>
      </w:pPr>
      <w:r>
        <w:rPr>
          <w:rFonts w:hint="eastAsia"/>
        </w:rPr>
        <w:t>方案征集：</w:t>
      </w:r>
    </w:p>
    <w:p>
      <w:pPr>
        <w:pStyle w:val="2"/>
        <w:ind w:left="0" w:firstLine="560" w:firstLineChars="200"/>
      </w:pPr>
      <w:r>
        <w:rPr>
          <w:rFonts w:hint="eastAsia"/>
        </w:rPr>
        <w:t>现公开面向市场征集广州医科大学附属番禺中心医院综合应急大楼电梯的</w:t>
      </w:r>
      <w:r>
        <w:t>建设</w:t>
      </w:r>
      <w:r>
        <w:rPr>
          <w:rFonts w:hint="eastAsia"/>
        </w:rPr>
        <w:t>方案。</w:t>
      </w:r>
    </w:p>
    <w:p>
      <w:pPr>
        <w:pStyle w:val="3"/>
      </w:pPr>
    </w:p>
    <w:p>
      <w:pPr>
        <w:pStyle w:val="3"/>
        <w:rPr>
          <w:sz w:val="24"/>
          <w:szCs w:val="24"/>
        </w:rPr>
      </w:pPr>
      <w:r>
        <w:rPr>
          <w:rFonts w:hint="eastAsia"/>
          <w:sz w:val="24"/>
          <w:szCs w:val="24"/>
        </w:rPr>
        <w:t>附件1：广州医科大学附属番禺中心医院综合应急大楼</w:t>
      </w:r>
      <w:r>
        <w:rPr>
          <w:sz w:val="24"/>
          <w:szCs w:val="24"/>
        </w:rPr>
        <w:t>---电梯数量参数表</w:t>
      </w:r>
    </w:p>
    <w:p>
      <w:pPr>
        <w:pStyle w:val="3"/>
        <w:rPr>
          <w:rFonts w:hint="eastAsia"/>
          <w:sz w:val="24"/>
          <w:szCs w:val="24"/>
        </w:rPr>
      </w:pPr>
      <w:r>
        <w:rPr>
          <w:rFonts w:hint="eastAsia"/>
          <w:sz w:val="24"/>
          <w:szCs w:val="24"/>
        </w:rPr>
        <w:t>附件2：广州医科大学附属番禺中心医院综合应急大楼</w:t>
      </w:r>
      <w:r>
        <w:rPr>
          <w:sz w:val="24"/>
          <w:szCs w:val="24"/>
        </w:rPr>
        <w:t>---</w:t>
      </w:r>
      <w:r>
        <w:rPr>
          <w:rFonts w:hint="eastAsia"/>
          <w:sz w:val="24"/>
          <w:szCs w:val="24"/>
        </w:rPr>
        <w:t>电梯平面和剖面图纸</w:t>
      </w:r>
    </w:p>
    <w:p>
      <w:pPr>
        <w:pStyle w:val="3"/>
        <w:rPr>
          <w:rFonts w:hint="eastAsia"/>
          <w:sz w:val="24"/>
          <w:szCs w:val="24"/>
        </w:rPr>
      </w:pPr>
      <w:r>
        <w:rPr>
          <w:rFonts w:hint="eastAsia"/>
          <w:sz w:val="24"/>
          <w:szCs w:val="24"/>
        </w:rPr>
        <w:t>附件</w:t>
      </w:r>
      <w:r>
        <w:rPr>
          <w:sz w:val="24"/>
          <w:szCs w:val="24"/>
        </w:rPr>
        <w:t>3：广州医科大学附属番禺中心医院综合应急大楼---平面图纸</w:t>
      </w:r>
    </w:p>
    <w:p>
      <w:pPr>
        <w:pStyle w:val="3"/>
        <w:rPr>
          <w:rFonts w:hint="eastAsia"/>
          <w:sz w:val="24"/>
          <w:szCs w:val="24"/>
        </w:rPr>
      </w:pPr>
      <w:r>
        <w:rPr>
          <w:rFonts w:hint="eastAsia"/>
          <w:sz w:val="24"/>
          <w:szCs w:val="24"/>
        </w:rPr>
        <w:t>附件</w:t>
      </w:r>
      <w:r>
        <w:rPr>
          <w:sz w:val="24"/>
          <w:szCs w:val="24"/>
        </w:rPr>
        <w:t>4：广州医科大学附属番禺中心医院综合应急大楼---总平面图纸</w:t>
      </w:r>
    </w:p>
    <w:p>
      <w:pPr>
        <w:pStyle w:val="3"/>
        <w:ind w:left="0"/>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01B947"/>
    <w:multiLevelType w:val="singleLevel"/>
    <w:tmpl w:val="0501B947"/>
    <w:lvl w:ilvl="0" w:tentative="0">
      <w:start w:val="1"/>
      <w:numFmt w:val="chineseCounting"/>
      <w:suff w:val="nothing"/>
      <w:lvlText w:val="（%1）"/>
      <w:lvlJc w:val="left"/>
      <w:pPr>
        <w:ind w:left="0" w:firstLine="420"/>
      </w:pPr>
      <w:rPr>
        <w:rFonts w:hint="eastAsia"/>
      </w:rPr>
    </w:lvl>
  </w:abstractNum>
  <w:abstractNum w:abstractNumId="1">
    <w:nsid w:val="5208384F"/>
    <w:multiLevelType w:val="multilevel"/>
    <w:tmpl w:val="5208384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B4D907"/>
    <w:multiLevelType w:val="multilevel"/>
    <w:tmpl w:val="52B4D907"/>
    <w:lvl w:ilvl="0" w:tentative="0">
      <w:start w:val="1"/>
      <w:numFmt w:val="chineseCounting"/>
      <w:pStyle w:val="4"/>
      <w:suff w:val="space"/>
      <w:lvlText w:val="第%1章 "/>
      <w:lvlJc w:val="center"/>
      <w:pPr>
        <w:tabs>
          <w:tab w:val="left" w:pos="0"/>
        </w:tabs>
        <w:ind w:left="0" w:firstLine="0"/>
      </w:pPr>
      <w:rPr>
        <w:rFonts w:hint="eastAsia" w:ascii="Times New Roman" w:hAnsi="Times New Roman" w:eastAsia="黑体" w:cs="黑体"/>
        <w:sz w:val="32"/>
        <w:szCs w:val="32"/>
      </w:rPr>
    </w:lvl>
    <w:lvl w:ilvl="1" w:tentative="0">
      <w:start w:val="1"/>
      <w:numFmt w:val="decimal"/>
      <w:pStyle w:val="5"/>
      <w:isLgl/>
      <w:suff w:val="space"/>
      <w:lvlText w:val="%1.%2 "/>
      <w:lvlJc w:val="left"/>
      <w:pPr>
        <w:tabs>
          <w:tab w:val="left" w:pos="420"/>
        </w:tabs>
        <w:ind w:left="0" w:firstLine="0"/>
      </w:pPr>
      <w:rPr>
        <w:rFonts w:hint="eastAsia" w:ascii="黑体" w:hAnsi="黑体" w:eastAsia="黑体" w:cs="黑体"/>
        <w:sz w:val="28"/>
        <w:szCs w:val="28"/>
      </w:rPr>
    </w:lvl>
    <w:lvl w:ilvl="2" w:tentative="0">
      <w:start w:val="1"/>
      <w:numFmt w:val="decimal"/>
      <w:pStyle w:val="6"/>
      <w:isLgl/>
      <w:suff w:val="space"/>
      <w:lvlText w:val="%1.%2.%3 "/>
      <w:lvlJc w:val="left"/>
      <w:pPr>
        <w:tabs>
          <w:tab w:val="left" w:pos="0"/>
        </w:tabs>
        <w:ind w:left="2978" w:hanging="2978"/>
      </w:pPr>
      <w:rPr>
        <w:rFonts w:hint="eastAsia" w:ascii="Times New Roman" w:hAnsi="Times New Roman" w:eastAsia="仿宋_GB2312" w:cs="Times New Roman"/>
        <w:sz w:val="28"/>
        <w:szCs w:val="28"/>
      </w:rPr>
    </w:lvl>
    <w:lvl w:ilvl="3" w:tentative="0">
      <w:start w:val="1"/>
      <w:numFmt w:val="decimal"/>
      <w:pStyle w:val="7"/>
      <w:isLgl/>
      <w:suff w:val="space"/>
      <w:lvlText w:val="%1.%2.%3.%4 "/>
      <w:lvlJc w:val="left"/>
      <w:pPr>
        <w:tabs>
          <w:tab w:val="left" w:pos="420"/>
        </w:tabs>
        <w:ind w:left="0" w:firstLine="0"/>
      </w:pPr>
      <w:rPr>
        <w:rFonts w:hint="eastAsia" w:ascii="Times New Roman" w:hAnsi="Times New Roman" w:eastAsia="仿宋_GB2312" w:cs="Times New Roman"/>
        <w:sz w:val="28"/>
        <w:szCs w:val="28"/>
      </w:rPr>
    </w:lvl>
    <w:lvl w:ilvl="4" w:tentative="0">
      <w:start w:val="1"/>
      <w:numFmt w:val="decimal"/>
      <w:pStyle w:val="8"/>
      <w:isLgl/>
      <w:suff w:val="nothing"/>
      <w:lvlText w:val="%5. "/>
      <w:lvlJc w:val="left"/>
      <w:pPr>
        <w:tabs>
          <w:tab w:val="left" w:pos="0"/>
        </w:tabs>
        <w:ind w:left="-13" w:firstLine="567"/>
      </w:pPr>
      <w:rPr>
        <w:rFonts w:hint="eastAsia" w:ascii="Times New Roman" w:hAnsi="Times New Roman" w:eastAsia="仿宋_GB2312" w:cs="Times New Roman"/>
        <w:sz w:val="28"/>
        <w:szCs w:val="28"/>
      </w:rPr>
    </w:lvl>
    <w:lvl w:ilvl="5" w:tentative="0">
      <w:start w:val="1"/>
      <w:numFmt w:val="decimalFullWidth"/>
      <w:pStyle w:val="9"/>
      <w:isLgl/>
      <w:suff w:val="space"/>
      <w:lvlText w:val="（%6）"/>
      <w:lvlJc w:val="left"/>
      <w:pPr>
        <w:tabs>
          <w:tab w:val="left" w:pos="420"/>
        </w:tabs>
        <w:ind w:left="0" w:firstLine="567"/>
      </w:pPr>
      <w:rPr>
        <w:rFonts w:hint="eastAsia" w:ascii="Times New Roman" w:hAnsi="Times New Roman" w:eastAsia="仿宋_GB2312" w:cs="Times New Roman"/>
        <w:sz w:val="28"/>
        <w:szCs w:val="28"/>
      </w:rPr>
    </w:lvl>
    <w:lvl w:ilvl="6" w:tentative="0">
      <w:start w:val="1"/>
      <w:numFmt w:val="decimalEnclosedCircleChinese"/>
      <w:suff w:val="space"/>
      <w:lvlText w:val="%7"/>
      <w:lvlJc w:val="left"/>
      <w:pPr>
        <w:tabs>
          <w:tab w:val="left" w:pos="420"/>
        </w:tabs>
        <w:ind w:left="0" w:firstLine="567"/>
      </w:pPr>
      <w:rPr>
        <w:rFonts w:hint="eastAsia" w:ascii="Times New Roman" w:hAnsi="Times New Roman" w:eastAsia="仿宋_GB2312" w:cs="Times New Roman"/>
        <w:sz w:val="28"/>
        <w:szCs w:val="28"/>
      </w:rPr>
    </w:lvl>
    <w:lvl w:ilvl="7" w:tentative="0">
      <w:start w:val="1"/>
      <w:numFmt w:val="decimal"/>
      <w:lvlRestart w:val="2"/>
      <w:pStyle w:val="10"/>
      <w:isLgl/>
      <w:suff w:val="space"/>
      <w:lvlText w:val="图%1-%2-%8 "/>
      <w:lvlJc w:val="center"/>
      <w:pPr>
        <w:tabs>
          <w:tab w:val="left" w:pos="0"/>
        </w:tabs>
        <w:ind w:left="0" w:firstLine="0"/>
      </w:pPr>
      <w:rPr>
        <w:rFonts w:hint="eastAsia" w:ascii="黑体" w:hAnsi="黑体" w:eastAsia="黑体" w:cs="黑体"/>
        <w:b w:val="0"/>
        <w:sz w:val="28"/>
        <w:szCs w:val="28"/>
      </w:rPr>
    </w:lvl>
    <w:lvl w:ilvl="8" w:tentative="0">
      <w:start w:val="1"/>
      <w:numFmt w:val="decimal"/>
      <w:lvlRestart w:val="2"/>
      <w:pStyle w:val="11"/>
      <w:isLgl/>
      <w:suff w:val="space"/>
      <w:lvlText w:val="表%1-%2-%9 "/>
      <w:lvlJc w:val="left"/>
      <w:pPr>
        <w:tabs>
          <w:tab w:val="left" w:pos="0"/>
        </w:tabs>
        <w:ind w:left="0" w:firstLine="0"/>
      </w:pPr>
      <w:rPr>
        <w:rFonts w:hint="eastAsia" w:ascii="仿宋" w:hAnsi="仿宋" w:eastAsia="仿宋" w:cs="仿宋"/>
        <w:sz w:val="21"/>
        <w:szCs w:val="21"/>
      </w:rPr>
    </w:lvl>
  </w:abstractNum>
  <w:abstractNum w:abstractNumId="3">
    <w:nsid w:val="6A9760CA"/>
    <w:multiLevelType w:val="multilevel"/>
    <w:tmpl w:val="6A9760CA"/>
    <w:lvl w:ilvl="0" w:tentative="0">
      <w:start w:val="1"/>
      <w:numFmt w:val="decimal"/>
      <w:pStyle w:val="19"/>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0YjQ3ZTNiMGU5ODMwMGM0YjEzOTQ4NzBiZmUwYjMifQ=="/>
  </w:docVars>
  <w:rsids>
    <w:rsidRoot w:val="00107C94"/>
    <w:rsid w:val="00075086"/>
    <w:rsid w:val="00085A7D"/>
    <w:rsid w:val="00101ECF"/>
    <w:rsid w:val="00107C94"/>
    <w:rsid w:val="001502F5"/>
    <w:rsid w:val="00154B71"/>
    <w:rsid w:val="001617AB"/>
    <w:rsid w:val="001E2694"/>
    <w:rsid w:val="00205F25"/>
    <w:rsid w:val="00241F7A"/>
    <w:rsid w:val="002633DF"/>
    <w:rsid w:val="00282EA2"/>
    <w:rsid w:val="00297C0D"/>
    <w:rsid w:val="002A148B"/>
    <w:rsid w:val="002A7A99"/>
    <w:rsid w:val="002B0A65"/>
    <w:rsid w:val="00310AC4"/>
    <w:rsid w:val="0031269A"/>
    <w:rsid w:val="00317077"/>
    <w:rsid w:val="003307AC"/>
    <w:rsid w:val="00341C24"/>
    <w:rsid w:val="003705BE"/>
    <w:rsid w:val="003C5B90"/>
    <w:rsid w:val="003F03D2"/>
    <w:rsid w:val="004A0EFF"/>
    <w:rsid w:val="004A391D"/>
    <w:rsid w:val="004C6DDB"/>
    <w:rsid w:val="00514731"/>
    <w:rsid w:val="00522B5B"/>
    <w:rsid w:val="00564FE2"/>
    <w:rsid w:val="00575D11"/>
    <w:rsid w:val="006D7F86"/>
    <w:rsid w:val="006E3C8A"/>
    <w:rsid w:val="007103C3"/>
    <w:rsid w:val="007315A2"/>
    <w:rsid w:val="00763D6C"/>
    <w:rsid w:val="00774B94"/>
    <w:rsid w:val="007E02A9"/>
    <w:rsid w:val="007E2B89"/>
    <w:rsid w:val="007F09C5"/>
    <w:rsid w:val="008C0601"/>
    <w:rsid w:val="008C4BAC"/>
    <w:rsid w:val="00920906"/>
    <w:rsid w:val="0097794E"/>
    <w:rsid w:val="009A3121"/>
    <w:rsid w:val="009B3596"/>
    <w:rsid w:val="009B5907"/>
    <w:rsid w:val="00A0034B"/>
    <w:rsid w:val="00A44559"/>
    <w:rsid w:val="00A557DB"/>
    <w:rsid w:val="00A55E18"/>
    <w:rsid w:val="00AB0D1F"/>
    <w:rsid w:val="00AB61D1"/>
    <w:rsid w:val="00AF35A4"/>
    <w:rsid w:val="00B205D3"/>
    <w:rsid w:val="00B4026A"/>
    <w:rsid w:val="00C3051B"/>
    <w:rsid w:val="00C6681D"/>
    <w:rsid w:val="00C77485"/>
    <w:rsid w:val="00D116B0"/>
    <w:rsid w:val="00D2583B"/>
    <w:rsid w:val="00D549CF"/>
    <w:rsid w:val="00D827C3"/>
    <w:rsid w:val="00DA28C4"/>
    <w:rsid w:val="00E027D5"/>
    <w:rsid w:val="00E55573"/>
    <w:rsid w:val="00E957F8"/>
    <w:rsid w:val="00E97803"/>
    <w:rsid w:val="00EE3A47"/>
    <w:rsid w:val="00F037B6"/>
    <w:rsid w:val="00F047A7"/>
    <w:rsid w:val="00FA58B5"/>
    <w:rsid w:val="013646FE"/>
    <w:rsid w:val="06AC026C"/>
    <w:rsid w:val="0F0752A1"/>
    <w:rsid w:val="128114D6"/>
    <w:rsid w:val="162576C9"/>
    <w:rsid w:val="19212219"/>
    <w:rsid w:val="1C976FB2"/>
    <w:rsid w:val="2158004C"/>
    <w:rsid w:val="227D5699"/>
    <w:rsid w:val="2A043DF9"/>
    <w:rsid w:val="2D97686A"/>
    <w:rsid w:val="30030473"/>
    <w:rsid w:val="32802A6C"/>
    <w:rsid w:val="34A633D5"/>
    <w:rsid w:val="3987098E"/>
    <w:rsid w:val="3A5C5803"/>
    <w:rsid w:val="3BAD594C"/>
    <w:rsid w:val="3C294576"/>
    <w:rsid w:val="3E9F12F5"/>
    <w:rsid w:val="400B40D4"/>
    <w:rsid w:val="45593DAD"/>
    <w:rsid w:val="4B53617F"/>
    <w:rsid w:val="506426D3"/>
    <w:rsid w:val="558A2919"/>
    <w:rsid w:val="630A66E1"/>
    <w:rsid w:val="66B35B75"/>
    <w:rsid w:val="6B0C2230"/>
    <w:rsid w:val="6FDFAFAD"/>
    <w:rsid w:val="71211781"/>
    <w:rsid w:val="789B7088"/>
    <w:rsid w:val="7BCE64DE"/>
    <w:rsid w:val="7CA15A45"/>
    <w:rsid w:val="AEFB48AD"/>
    <w:rsid w:val="CEB9841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9"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left="420"/>
      <w:jc w:val="both"/>
    </w:pPr>
    <w:rPr>
      <w:rFonts w:ascii="宋体" w:hAnsi="宋体" w:eastAsia="宋体" w:cstheme="minorBidi"/>
      <w:kern w:val="2"/>
      <w:sz w:val="28"/>
      <w:szCs w:val="28"/>
      <w:lang w:val="en-US" w:eastAsia="zh-CN" w:bidi="ar-SA"/>
    </w:rPr>
  </w:style>
  <w:style w:type="paragraph" w:styleId="4">
    <w:name w:val="heading 1"/>
    <w:basedOn w:val="1"/>
    <w:next w:val="1"/>
    <w:link w:val="22"/>
    <w:qFormat/>
    <w:uiPriority w:val="0"/>
    <w:pPr>
      <w:keepNext/>
      <w:keepLines/>
      <w:numPr>
        <w:ilvl w:val="0"/>
        <w:numId w:val="1"/>
      </w:numPr>
      <w:tabs>
        <w:tab w:val="left" w:pos="420"/>
        <w:tab w:val="clear" w:pos="0"/>
      </w:tabs>
      <w:jc w:val="center"/>
      <w:outlineLvl w:val="0"/>
    </w:pPr>
    <w:rPr>
      <w:rFonts w:ascii="黑体" w:hAnsi="黑体" w:eastAsia="黑体" w:cs="Times New Roman"/>
      <w:bCs/>
      <w:kern w:val="44"/>
      <w:sz w:val="32"/>
      <w:szCs w:val="32"/>
    </w:rPr>
  </w:style>
  <w:style w:type="paragraph" w:styleId="5">
    <w:name w:val="heading 2"/>
    <w:basedOn w:val="1"/>
    <w:next w:val="1"/>
    <w:link w:val="23"/>
    <w:unhideWhenUsed/>
    <w:qFormat/>
    <w:uiPriority w:val="0"/>
    <w:pPr>
      <w:keepNext/>
      <w:keepLines/>
      <w:numPr>
        <w:ilvl w:val="1"/>
        <w:numId w:val="1"/>
      </w:numPr>
      <w:tabs>
        <w:tab w:val="left" w:pos="0"/>
      </w:tabs>
      <w:outlineLvl w:val="1"/>
    </w:pPr>
    <w:rPr>
      <w:rFonts w:ascii="Times New Roman" w:hAnsi="Times New Roman" w:eastAsia="黑体" w:cs="Times New Roman"/>
      <w:bCs/>
    </w:rPr>
  </w:style>
  <w:style w:type="paragraph" w:styleId="6">
    <w:name w:val="heading 3"/>
    <w:basedOn w:val="1"/>
    <w:next w:val="1"/>
    <w:link w:val="24"/>
    <w:unhideWhenUsed/>
    <w:qFormat/>
    <w:uiPriority w:val="0"/>
    <w:pPr>
      <w:keepNext/>
      <w:keepLines/>
      <w:numPr>
        <w:ilvl w:val="2"/>
        <w:numId w:val="1"/>
      </w:numPr>
      <w:tabs>
        <w:tab w:val="left" w:pos="3398"/>
        <w:tab w:val="left" w:pos="3965"/>
      </w:tabs>
      <w:ind w:firstLine="0"/>
      <w:jc w:val="left"/>
      <w:outlineLvl w:val="2"/>
    </w:pPr>
    <w:rPr>
      <w:rFonts w:ascii="Times New Roman" w:hAnsi="Times New Roman" w:eastAsia="仿宋_GB2312" w:cs="Times New Roman"/>
    </w:rPr>
  </w:style>
  <w:style w:type="paragraph" w:styleId="7">
    <w:name w:val="heading 4"/>
    <w:basedOn w:val="1"/>
    <w:next w:val="1"/>
    <w:link w:val="25"/>
    <w:unhideWhenUsed/>
    <w:qFormat/>
    <w:uiPriority w:val="0"/>
    <w:pPr>
      <w:keepNext/>
      <w:keepLines/>
      <w:numPr>
        <w:ilvl w:val="3"/>
        <w:numId w:val="1"/>
      </w:numPr>
      <w:tabs>
        <w:tab w:val="left" w:pos="0"/>
      </w:tabs>
      <w:outlineLvl w:val="3"/>
    </w:pPr>
    <w:rPr>
      <w:rFonts w:ascii="Times New Roman" w:hAnsi="Times New Roman" w:eastAsia="仿宋_GB2312" w:cs="Times New Roman"/>
    </w:rPr>
  </w:style>
  <w:style w:type="paragraph" w:styleId="8">
    <w:name w:val="heading 5"/>
    <w:basedOn w:val="1"/>
    <w:next w:val="1"/>
    <w:link w:val="26"/>
    <w:unhideWhenUsed/>
    <w:qFormat/>
    <w:uiPriority w:val="0"/>
    <w:pPr>
      <w:keepNext/>
      <w:keepLines/>
      <w:numPr>
        <w:ilvl w:val="4"/>
        <w:numId w:val="1"/>
      </w:numPr>
      <w:tabs>
        <w:tab w:val="left" w:pos="420"/>
      </w:tabs>
      <w:jc w:val="left"/>
      <w:outlineLvl w:val="4"/>
    </w:pPr>
    <w:rPr>
      <w:rFonts w:ascii="Times New Roman" w:hAnsi="Times New Roman" w:eastAsia="仿宋_GB2312" w:cs="仿宋_GB2312"/>
    </w:rPr>
  </w:style>
  <w:style w:type="paragraph" w:styleId="9">
    <w:name w:val="heading 6"/>
    <w:basedOn w:val="1"/>
    <w:next w:val="1"/>
    <w:link w:val="27"/>
    <w:unhideWhenUsed/>
    <w:qFormat/>
    <w:uiPriority w:val="0"/>
    <w:pPr>
      <w:keepNext/>
      <w:keepLines/>
      <w:numPr>
        <w:ilvl w:val="5"/>
        <w:numId w:val="1"/>
      </w:numPr>
      <w:outlineLvl w:val="5"/>
    </w:pPr>
    <w:rPr>
      <w:rFonts w:ascii="Times New Roman" w:hAnsi="Times New Roman" w:eastAsia="仿宋_GB2312" w:cs="仿宋_GB2312"/>
    </w:rPr>
  </w:style>
  <w:style w:type="paragraph" w:styleId="10">
    <w:name w:val="heading 8"/>
    <w:basedOn w:val="1"/>
    <w:next w:val="1"/>
    <w:link w:val="28"/>
    <w:unhideWhenUsed/>
    <w:qFormat/>
    <w:uiPriority w:val="0"/>
    <w:pPr>
      <w:keepLines/>
      <w:numPr>
        <w:ilvl w:val="7"/>
        <w:numId w:val="1"/>
      </w:numPr>
      <w:tabs>
        <w:tab w:val="center" w:pos="0"/>
        <w:tab w:val="left" w:pos="420"/>
      </w:tabs>
      <w:jc w:val="center"/>
      <w:outlineLvl w:val="7"/>
    </w:pPr>
    <w:rPr>
      <w:rFonts w:ascii="Arial" w:hAnsi="Arial" w:eastAsia="黑体" w:cs="Times New Roman"/>
      <w:color w:val="000000"/>
    </w:rPr>
  </w:style>
  <w:style w:type="paragraph" w:styleId="11">
    <w:name w:val="heading 9"/>
    <w:basedOn w:val="1"/>
    <w:next w:val="1"/>
    <w:link w:val="29"/>
    <w:unhideWhenUsed/>
    <w:qFormat/>
    <w:uiPriority w:val="0"/>
    <w:pPr>
      <w:keepNext/>
      <w:keepLines/>
      <w:numPr>
        <w:ilvl w:val="8"/>
        <w:numId w:val="1"/>
      </w:numPr>
      <w:snapToGrid w:val="0"/>
      <w:outlineLvl w:val="8"/>
    </w:pPr>
    <w:rPr>
      <w:rFonts w:ascii="Times New Roman" w:hAnsi="Times New Roman" w:eastAsia="仿宋_GB2312" w:cs="Times New Roman"/>
      <w:color w:val="00000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annotation text"/>
    <w:basedOn w:val="1"/>
    <w:next w:val="3"/>
    <w:qFormat/>
    <w:uiPriority w:val="0"/>
    <w:pPr>
      <w:jc w:val="left"/>
    </w:pPr>
  </w:style>
  <w:style w:type="paragraph" w:styleId="3">
    <w:name w:val="Balloon Text"/>
    <w:basedOn w:val="1"/>
    <w:semiHidden/>
    <w:qFormat/>
    <w:uiPriority w:val="0"/>
    <w:rPr>
      <w:sz w:val="18"/>
      <w:szCs w:val="18"/>
    </w:rPr>
  </w:style>
  <w:style w:type="paragraph" w:styleId="12">
    <w:name w:val="Body Text"/>
    <w:basedOn w:val="1"/>
    <w:unhideWhenUsed/>
    <w:qFormat/>
    <w:uiPriority w:val="99"/>
    <w:pPr>
      <w:spacing w:before="100" w:beforeAutospacing="1"/>
    </w:pPr>
    <w:rPr>
      <w:kern w:val="0"/>
      <w:sz w:val="20"/>
    </w:rPr>
  </w:style>
  <w:style w:type="paragraph" w:styleId="13">
    <w:name w:val="footer"/>
    <w:basedOn w:val="1"/>
    <w:link w:val="21"/>
    <w:unhideWhenUsed/>
    <w:qFormat/>
    <w:uiPriority w:val="99"/>
    <w:pPr>
      <w:tabs>
        <w:tab w:val="center" w:pos="4153"/>
        <w:tab w:val="right" w:pos="8306"/>
      </w:tabs>
      <w:snapToGrid w:val="0"/>
      <w:jc w:val="left"/>
    </w:pPr>
    <w:rPr>
      <w:sz w:val="18"/>
      <w:szCs w:val="18"/>
    </w:rPr>
  </w:style>
  <w:style w:type="paragraph" w:styleId="14">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First Indent"/>
    <w:basedOn w:val="12"/>
    <w:unhideWhenUsed/>
    <w:qFormat/>
    <w:uiPriority w:val="99"/>
    <w:pPr>
      <w:spacing w:before="0" w:beforeAutospacing="0" w:after="120"/>
      <w:ind w:firstLine="420" w:firstLineChars="100"/>
    </w:pPr>
    <w:rPr>
      <w:rFonts w:ascii="Times New Roman" w:hAnsi="Times New Roman" w:cs="Times New Roman"/>
      <w:szCs w:val="20"/>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9">
    <w:name w:val="List Paragraph"/>
    <w:basedOn w:val="1"/>
    <w:qFormat/>
    <w:uiPriority w:val="34"/>
    <w:pPr>
      <w:numPr>
        <w:ilvl w:val="0"/>
        <w:numId w:val="2"/>
      </w:numPr>
      <w:tabs>
        <w:tab w:val="left" w:pos="709"/>
      </w:tabs>
    </w:pPr>
  </w:style>
  <w:style w:type="character" w:customStyle="1" w:styleId="20">
    <w:name w:val="页眉 Char"/>
    <w:basedOn w:val="18"/>
    <w:link w:val="14"/>
    <w:qFormat/>
    <w:uiPriority w:val="99"/>
    <w:rPr>
      <w:sz w:val="18"/>
      <w:szCs w:val="18"/>
    </w:rPr>
  </w:style>
  <w:style w:type="character" w:customStyle="1" w:styleId="21">
    <w:name w:val="页脚 Char"/>
    <w:basedOn w:val="18"/>
    <w:link w:val="13"/>
    <w:qFormat/>
    <w:uiPriority w:val="99"/>
    <w:rPr>
      <w:sz w:val="18"/>
      <w:szCs w:val="18"/>
    </w:rPr>
  </w:style>
  <w:style w:type="character" w:customStyle="1" w:styleId="22">
    <w:name w:val="标题 1 Char"/>
    <w:basedOn w:val="18"/>
    <w:link w:val="4"/>
    <w:uiPriority w:val="0"/>
    <w:rPr>
      <w:rFonts w:ascii="黑体" w:hAnsi="黑体" w:eastAsia="黑体"/>
      <w:bCs/>
      <w:kern w:val="44"/>
      <w:sz w:val="32"/>
      <w:szCs w:val="32"/>
    </w:rPr>
  </w:style>
  <w:style w:type="character" w:customStyle="1" w:styleId="23">
    <w:name w:val="标题 2 Char"/>
    <w:basedOn w:val="18"/>
    <w:link w:val="5"/>
    <w:uiPriority w:val="0"/>
    <w:rPr>
      <w:rFonts w:eastAsia="黑体"/>
      <w:bCs/>
      <w:kern w:val="2"/>
      <w:sz w:val="28"/>
      <w:szCs w:val="28"/>
    </w:rPr>
  </w:style>
  <w:style w:type="character" w:customStyle="1" w:styleId="24">
    <w:name w:val="标题 3 Char"/>
    <w:basedOn w:val="18"/>
    <w:link w:val="6"/>
    <w:uiPriority w:val="0"/>
    <w:rPr>
      <w:rFonts w:eastAsia="仿宋_GB2312"/>
      <w:kern w:val="2"/>
      <w:sz w:val="28"/>
      <w:szCs w:val="28"/>
    </w:rPr>
  </w:style>
  <w:style w:type="character" w:customStyle="1" w:styleId="25">
    <w:name w:val="标题 4 Char"/>
    <w:basedOn w:val="18"/>
    <w:link w:val="7"/>
    <w:qFormat/>
    <w:uiPriority w:val="0"/>
    <w:rPr>
      <w:rFonts w:eastAsia="仿宋_GB2312"/>
      <w:kern w:val="2"/>
      <w:sz w:val="28"/>
      <w:szCs w:val="28"/>
    </w:rPr>
  </w:style>
  <w:style w:type="character" w:customStyle="1" w:styleId="26">
    <w:name w:val="标题 5 Char"/>
    <w:basedOn w:val="18"/>
    <w:link w:val="8"/>
    <w:uiPriority w:val="0"/>
    <w:rPr>
      <w:rFonts w:eastAsia="仿宋_GB2312" w:cs="仿宋_GB2312"/>
      <w:kern w:val="2"/>
      <w:sz w:val="28"/>
      <w:szCs w:val="28"/>
    </w:rPr>
  </w:style>
  <w:style w:type="character" w:customStyle="1" w:styleId="27">
    <w:name w:val="标题 6 Char"/>
    <w:basedOn w:val="18"/>
    <w:link w:val="9"/>
    <w:uiPriority w:val="0"/>
    <w:rPr>
      <w:rFonts w:eastAsia="仿宋_GB2312" w:cs="仿宋_GB2312"/>
      <w:kern w:val="2"/>
      <w:sz w:val="28"/>
      <w:szCs w:val="28"/>
    </w:rPr>
  </w:style>
  <w:style w:type="character" w:customStyle="1" w:styleId="28">
    <w:name w:val="标题 8 Char"/>
    <w:basedOn w:val="18"/>
    <w:link w:val="10"/>
    <w:uiPriority w:val="0"/>
    <w:rPr>
      <w:rFonts w:ascii="Arial" w:hAnsi="Arial" w:eastAsia="黑体"/>
      <w:color w:val="000000"/>
      <w:kern w:val="2"/>
      <w:sz w:val="28"/>
      <w:szCs w:val="28"/>
    </w:rPr>
  </w:style>
  <w:style w:type="character" w:customStyle="1" w:styleId="29">
    <w:name w:val="标题 9 Char"/>
    <w:basedOn w:val="18"/>
    <w:link w:val="11"/>
    <w:uiPriority w:val="0"/>
    <w:rPr>
      <w:rFonts w:eastAsia="仿宋_GB2312"/>
      <w:color w:val="000000"/>
      <w:kern w:val="2"/>
      <w:sz w:val="21"/>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