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GoBack"/>
      <w:bookmarkEnd w:id="0"/>
      <w:r>
        <w:rPr>
          <w:rFonts w:hint="eastAsia"/>
          <w:b/>
          <w:sz w:val="36"/>
          <w:szCs w:val="36"/>
        </w:rPr>
        <w:t>广州医科大学附属番禺中心医院综合应急大楼</w:t>
      </w:r>
    </w:p>
    <w:p>
      <w:pPr>
        <w:jc w:val="center"/>
        <w:rPr>
          <w:b/>
          <w:sz w:val="36"/>
          <w:szCs w:val="36"/>
        </w:rPr>
      </w:pPr>
      <w:r>
        <w:rPr>
          <w:rFonts w:hint="eastAsia"/>
          <w:b/>
          <w:sz w:val="36"/>
          <w:szCs w:val="36"/>
        </w:rPr>
        <w:t>手术室、ICU建设方案-</w:t>
      </w:r>
      <w:r>
        <w:rPr>
          <w:b/>
          <w:sz w:val="36"/>
          <w:szCs w:val="36"/>
        </w:rPr>
        <w:t>--</w:t>
      </w:r>
      <w:r>
        <w:rPr>
          <w:rFonts w:hint="eastAsia"/>
          <w:b/>
          <w:sz w:val="36"/>
          <w:szCs w:val="36"/>
        </w:rPr>
        <w:t>市场方案调研需求书</w:t>
      </w:r>
    </w:p>
    <w:p/>
    <w:p>
      <w:pPr>
        <w:pStyle w:val="19"/>
        <w:numPr>
          <w:ilvl w:val="0"/>
          <w:numId w:val="3"/>
        </w:numPr>
        <w:rPr>
          <w:rFonts w:cs="仿宋"/>
          <w:color w:val="000000"/>
          <w:kern w:val="0"/>
          <w:lang w:bidi="ar"/>
        </w:rPr>
      </w:pPr>
      <w:r>
        <w:rPr>
          <w:rFonts w:hint="eastAsia"/>
        </w:rPr>
        <w:t>项目简要概述：</w:t>
      </w:r>
      <w:r>
        <w:rPr>
          <w:rFonts w:hint="eastAsia" w:cs="仿宋"/>
          <w:color w:val="000000"/>
          <w:kern w:val="0"/>
          <w:lang w:bidi="ar"/>
        </w:rPr>
        <w:t xml:space="preserve">    </w:t>
      </w:r>
    </w:p>
    <w:p>
      <w:pPr>
        <w:ind w:firstLine="560" w:firstLineChars="200"/>
      </w:pPr>
      <w:r>
        <w:rPr>
          <w:rFonts w:hint="eastAsia"/>
        </w:rPr>
        <w:t>本项目拟在医院现东片区设置平急结合区域，建设一幢综合应急大楼，主要包括</w:t>
      </w:r>
      <w:r>
        <w:t>300床应急床位、科研实验、教学及应急配套功能，东区整体实现平急结合转换功能。项目建成后，区中心医院将建设发展为医疗、教学、科研、预防、康复、急救、健教为一体的高水平三级甲等、具备应对突发公共卫生事件能力的平急结合综合医院。</w:t>
      </w:r>
    </w:p>
    <w:p>
      <w:pPr>
        <w:pStyle w:val="2"/>
      </w:pPr>
    </w:p>
    <w:p>
      <w:pPr>
        <w:pStyle w:val="19"/>
        <w:numPr>
          <w:ilvl w:val="0"/>
          <w:numId w:val="3"/>
        </w:numPr>
      </w:pPr>
      <w:r>
        <w:rPr>
          <w:rFonts w:hint="eastAsia"/>
        </w:rPr>
        <w:t>技术/服务要求：</w:t>
      </w:r>
    </w:p>
    <w:p>
      <w:pPr>
        <w:pStyle w:val="19"/>
        <w:numPr>
          <w:ilvl w:val="0"/>
          <w:numId w:val="4"/>
        </w:numPr>
      </w:pPr>
      <w:r>
        <w:rPr>
          <w:rFonts w:hint="eastAsia"/>
        </w:rPr>
        <w:t>项目建设地点：广州市番禺区桥南街福愉东路8号。</w:t>
      </w:r>
    </w:p>
    <w:p>
      <w:pPr>
        <w:pStyle w:val="19"/>
        <w:numPr>
          <w:ilvl w:val="0"/>
          <w:numId w:val="0"/>
        </w:numPr>
        <w:ind w:left="420"/>
      </w:pPr>
      <w:r>
        <w:rPr>
          <w:rFonts w:hint="eastAsia"/>
        </w:rPr>
        <w:t xml:space="preserve"> </w:t>
      </w:r>
    </w:p>
    <w:p>
      <w:pPr>
        <w:pStyle w:val="19"/>
        <w:numPr>
          <w:ilvl w:val="0"/>
          <w:numId w:val="4"/>
        </w:numPr>
      </w:pPr>
      <w:r>
        <w:rPr>
          <w:rFonts w:hint="eastAsia"/>
        </w:rPr>
        <w:t>大楼建设内容：</w:t>
      </w:r>
    </w:p>
    <w:p>
      <w:r>
        <w:rPr>
          <w:rFonts w:hint="eastAsia"/>
        </w:rPr>
        <w:t>1、手术室</w:t>
      </w:r>
    </w:p>
    <w:p>
      <w:pPr>
        <w:ind w:firstLine="560" w:firstLineChars="200"/>
      </w:pPr>
      <w:r>
        <w:rPr>
          <w:rFonts w:hint="eastAsia"/>
        </w:rPr>
        <w:t>参考《综合医院建筑设计规范》（GB51039-2014）相关要求，项目作为应急医疗部分，结合“平急结合”设置特性，初步考虑手术室按每30床一间设置，共需设置手术室10间。依照现有同类项目建设经验，拟按130㎡/间设置，包括准备区、手术区、医护辅助区等。</w:t>
      </w:r>
    </w:p>
    <w:p>
      <w:pPr>
        <w:jc w:val="center"/>
        <w:rPr>
          <w:sz w:val="24"/>
          <w:szCs w:val="24"/>
        </w:rPr>
      </w:pPr>
      <w:r>
        <w:rPr>
          <w:sz w:val="24"/>
          <w:szCs w:val="24"/>
        </w:rPr>
        <w:t>手术部功能分区</w:t>
      </w:r>
    </w:p>
    <w:tbl>
      <w:tblPr>
        <w:tblStyle w:val="16"/>
        <w:tblW w:w="8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72"/>
        <w:gridCol w:w="1137"/>
        <w:gridCol w:w="6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blHeader/>
          <w:jc w:val="center"/>
        </w:trPr>
        <w:tc>
          <w:tcPr>
            <w:tcW w:w="572" w:type="dxa"/>
            <w:shd w:val="clear" w:color="auto" w:fill="auto"/>
            <w:vAlign w:val="center"/>
          </w:tcPr>
          <w:p>
            <w:pPr>
              <w:ind w:left="0"/>
              <w:jc w:val="center"/>
              <w:rPr>
                <w:sz w:val="24"/>
                <w:szCs w:val="24"/>
              </w:rPr>
            </w:pPr>
            <w:r>
              <w:rPr>
                <w:rFonts w:hint="eastAsia"/>
                <w:sz w:val="24"/>
                <w:szCs w:val="24"/>
              </w:rPr>
              <w:t>序号</w:t>
            </w:r>
          </w:p>
        </w:tc>
        <w:tc>
          <w:tcPr>
            <w:tcW w:w="1137" w:type="dxa"/>
            <w:shd w:val="clear" w:color="auto" w:fill="auto"/>
            <w:vAlign w:val="center"/>
          </w:tcPr>
          <w:p>
            <w:pPr>
              <w:ind w:left="0"/>
              <w:jc w:val="center"/>
              <w:rPr>
                <w:sz w:val="24"/>
                <w:szCs w:val="24"/>
              </w:rPr>
            </w:pPr>
            <w:r>
              <w:rPr>
                <w:rFonts w:hint="eastAsia"/>
                <w:sz w:val="24"/>
                <w:szCs w:val="24"/>
              </w:rPr>
              <w:t>功能分区</w:t>
            </w:r>
          </w:p>
        </w:tc>
        <w:tc>
          <w:tcPr>
            <w:tcW w:w="6535" w:type="dxa"/>
            <w:shd w:val="clear" w:color="auto" w:fill="auto"/>
            <w:vAlign w:val="center"/>
          </w:tcPr>
          <w:p>
            <w:pPr>
              <w:ind w:left="0"/>
              <w:jc w:val="center"/>
              <w:rPr>
                <w:sz w:val="24"/>
                <w:szCs w:val="24"/>
              </w:rPr>
            </w:pPr>
            <w:r>
              <w:rPr>
                <w:rFonts w:hint="eastAsia"/>
                <w:sz w:val="24"/>
                <w:szCs w:val="24"/>
              </w:rPr>
              <w:t>房间名称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572" w:type="dxa"/>
            <w:shd w:val="clear" w:color="auto" w:fill="auto"/>
            <w:vAlign w:val="center"/>
          </w:tcPr>
          <w:p>
            <w:pPr>
              <w:ind w:left="0"/>
              <w:jc w:val="center"/>
              <w:rPr>
                <w:sz w:val="24"/>
                <w:szCs w:val="24"/>
              </w:rPr>
            </w:pPr>
            <w:r>
              <w:rPr>
                <w:rFonts w:hint="eastAsia"/>
                <w:sz w:val="24"/>
                <w:szCs w:val="24"/>
              </w:rPr>
              <w:t>1</w:t>
            </w:r>
          </w:p>
        </w:tc>
        <w:tc>
          <w:tcPr>
            <w:tcW w:w="1137" w:type="dxa"/>
            <w:shd w:val="clear" w:color="auto" w:fill="auto"/>
            <w:vAlign w:val="center"/>
          </w:tcPr>
          <w:p>
            <w:pPr>
              <w:ind w:left="0"/>
              <w:rPr>
                <w:sz w:val="24"/>
                <w:szCs w:val="24"/>
              </w:rPr>
            </w:pPr>
            <w:r>
              <w:rPr>
                <w:rFonts w:hint="eastAsia"/>
                <w:sz w:val="24"/>
                <w:szCs w:val="24"/>
              </w:rPr>
              <w:t>准备区</w:t>
            </w:r>
          </w:p>
        </w:tc>
        <w:tc>
          <w:tcPr>
            <w:tcW w:w="6535" w:type="dxa"/>
            <w:shd w:val="clear" w:color="auto" w:fill="auto"/>
            <w:vAlign w:val="center"/>
          </w:tcPr>
          <w:p>
            <w:pPr>
              <w:ind w:left="0"/>
              <w:rPr>
                <w:sz w:val="24"/>
                <w:szCs w:val="24"/>
              </w:rPr>
            </w:pPr>
            <w:r>
              <w:rPr>
                <w:rFonts w:hint="eastAsia"/>
                <w:sz w:val="24"/>
                <w:szCs w:val="24"/>
              </w:rPr>
              <w:t>换床、准备、登记、麻醉室、苏醒室、家属等候区、谈话室、家属卫生间等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72" w:type="dxa"/>
            <w:shd w:val="clear" w:color="auto" w:fill="auto"/>
            <w:vAlign w:val="center"/>
          </w:tcPr>
          <w:p>
            <w:pPr>
              <w:ind w:left="0"/>
              <w:jc w:val="center"/>
              <w:rPr>
                <w:sz w:val="24"/>
                <w:szCs w:val="24"/>
              </w:rPr>
            </w:pPr>
            <w:r>
              <w:rPr>
                <w:rFonts w:hint="eastAsia"/>
                <w:sz w:val="24"/>
                <w:szCs w:val="24"/>
              </w:rPr>
              <w:t>2</w:t>
            </w:r>
          </w:p>
        </w:tc>
        <w:tc>
          <w:tcPr>
            <w:tcW w:w="1137" w:type="dxa"/>
            <w:shd w:val="clear" w:color="auto" w:fill="auto"/>
            <w:vAlign w:val="center"/>
          </w:tcPr>
          <w:p>
            <w:pPr>
              <w:ind w:left="0"/>
              <w:rPr>
                <w:sz w:val="24"/>
                <w:szCs w:val="24"/>
              </w:rPr>
            </w:pPr>
            <w:r>
              <w:rPr>
                <w:rFonts w:hint="eastAsia"/>
                <w:sz w:val="24"/>
                <w:szCs w:val="24"/>
              </w:rPr>
              <w:t>手术区</w:t>
            </w:r>
          </w:p>
        </w:tc>
        <w:tc>
          <w:tcPr>
            <w:tcW w:w="6535" w:type="dxa"/>
            <w:shd w:val="clear" w:color="auto" w:fill="auto"/>
            <w:vAlign w:val="center"/>
          </w:tcPr>
          <w:p>
            <w:pPr>
              <w:ind w:left="0"/>
              <w:rPr>
                <w:sz w:val="24"/>
                <w:szCs w:val="24"/>
              </w:rPr>
            </w:pPr>
            <w:r>
              <w:rPr>
                <w:rFonts w:hint="eastAsia"/>
                <w:sz w:val="24"/>
                <w:szCs w:val="24"/>
              </w:rPr>
              <w:t>手术室、刷手、护士站、无菌敷料库、一次性用品库、器械库、药品库、消毒室、清洗室、污物间、库房等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572" w:type="dxa"/>
            <w:shd w:val="clear" w:color="auto" w:fill="auto"/>
            <w:vAlign w:val="center"/>
          </w:tcPr>
          <w:p>
            <w:pPr>
              <w:ind w:left="0"/>
              <w:jc w:val="center"/>
              <w:rPr>
                <w:sz w:val="24"/>
                <w:szCs w:val="24"/>
              </w:rPr>
            </w:pPr>
            <w:r>
              <w:rPr>
                <w:rFonts w:hint="eastAsia"/>
                <w:sz w:val="24"/>
                <w:szCs w:val="24"/>
              </w:rPr>
              <w:t>3</w:t>
            </w:r>
          </w:p>
        </w:tc>
        <w:tc>
          <w:tcPr>
            <w:tcW w:w="1137" w:type="dxa"/>
            <w:shd w:val="clear" w:color="auto" w:fill="auto"/>
            <w:vAlign w:val="center"/>
          </w:tcPr>
          <w:p>
            <w:pPr>
              <w:ind w:left="0"/>
              <w:rPr>
                <w:sz w:val="24"/>
                <w:szCs w:val="24"/>
              </w:rPr>
            </w:pPr>
            <w:r>
              <w:rPr>
                <w:rFonts w:hint="eastAsia"/>
                <w:sz w:val="24"/>
                <w:szCs w:val="24"/>
              </w:rPr>
              <w:t>医护辅助区</w:t>
            </w:r>
          </w:p>
        </w:tc>
        <w:tc>
          <w:tcPr>
            <w:tcW w:w="6535" w:type="dxa"/>
            <w:shd w:val="clear" w:color="auto" w:fill="auto"/>
            <w:vAlign w:val="center"/>
          </w:tcPr>
          <w:p>
            <w:pPr>
              <w:ind w:left="0"/>
              <w:rPr>
                <w:sz w:val="24"/>
                <w:szCs w:val="24"/>
              </w:rPr>
            </w:pPr>
            <w:r>
              <w:rPr>
                <w:rFonts w:hint="eastAsia"/>
                <w:sz w:val="24"/>
                <w:szCs w:val="24"/>
              </w:rPr>
              <w:t>办公室、休息室、会诊室（示教室）、值班、换鞋、更衣室、浴室、医护卫生间等</w:t>
            </w:r>
          </w:p>
        </w:tc>
      </w:tr>
    </w:tbl>
    <w:p/>
    <w:p>
      <w:r>
        <w:t>2、监护病房</w:t>
      </w:r>
      <w:r>
        <w:rPr>
          <w:rFonts w:hint="eastAsia"/>
        </w:rPr>
        <w:t>（ICU）</w:t>
      </w:r>
    </w:p>
    <w:p>
      <w:pPr>
        <w:ind w:firstLine="560" w:firstLineChars="200"/>
      </w:pPr>
      <w:r>
        <w:rPr>
          <w:rFonts w:hint="eastAsia"/>
        </w:rPr>
        <w:t>监护病房是收治各类重症患者并进行集中监测和强化治疗的科室，包括重症监护病房（</w:t>
      </w:r>
      <w:r>
        <w:t>ICU）等。作为应急医疗，按照“平急转换”的要求，宜按床位数10%设置。结合本项目功能科室及病房设置情况，拟设置监护病房30床。监护病房划分为接收区、监护区和医护辅助区。</w:t>
      </w:r>
    </w:p>
    <w:p>
      <w:pPr>
        <w:jc w:val="center"/>
        <w:rPr>
          <w:sz w:val="24"/>
          <w:szCs w:val="24"/>
        </w:rPr>
      </w:pPr>
      <w:r>
        <w:rPr>
          <w:sz w:val="24"/>
          <w:szCs w:val="24"/>
        </w:rPr>
        <w:t>监护病房功能分区</w:t>
      </w:r>
    </w:p>
    <w:tbl>
      <w:tblPr>
        <w:tblStyle w:val="16"/>
        <w:tblW w:w="8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94"/>
        <w:gridCol w:w="1165"/>
        <w:gridCol w:w="6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blHeader/>
          <w:jc w:val="center"/>
        </w:trPr>
        <w:tc>
          <w:tcPr>
            <w:tcW w:w="694" w:type="dxa"/>
            <w:shd w:val="clear" w:color="auto" w:fill="auto"/>
            <w:vAlign w:val="center"/>
          </w:tcPr>
          <w:p>
            <w:pPr>
              <w:ind w:left="0"/>
              <w:jc w:val="center"/>
              <w:rPr>
                <w:sz w:val="24"/>
                <w:szCs w:val="24"/>
              </w:rPr>
            </w:pPr>
            <w:r>
              <w:rPr>
                <w:rFonts w:hint="eastAsia"/>
                <w:sz w:val="24"/>
                <w:szCs w:val="24"/>
              </w:rPr>
              <w:t>序号</w:t>
            </w:r>
          </w:p>
        </w:tc>
        <w:tc>
          <w:tcPr>
            <w:tcW w:w="1165" w:type="dxa"/>
            <w:shd w:val="clear" w:color="auto" w:fill="auto"/>
            <w:vAlign w:val="center"/>
          </w:tcPr>
          <w:p>
            <w:pPr>
              <w:ind w:left="0"/>
              <w:jc w:val="center"/>
              <w:rPr>
                <w:sz w:val="24"/>
                <w:szCs w:val="24"/>
              </w:rPr>
            </w:pPr>
            <w:r>
              <w:rPr>
                <w:rFonts w:hint="eastAsia"/>
                <w:sz w:val="24"/>
                <w:szCs w:val="24"/>
              </w:rPr>
              <w:t>功能分区</w:t>
            </w:r>
          </w:p>
        </w:tc>
        <w:tc>
          <w:tcPr>
            <w:tcW w:w="6419" w:type="dxa"/>
            <w:shd w:val="clear" w:color="auto" w:fill="auto"/>
            <w:vAlign w:val="center"/>
          </w:tcPr>
          <w:p>
            <w:pPr>
              <w:ind w:left="0"/>
              <w:jc w:val="center"/>
              <w:rPr>
                <w:sz w:val="24"/>
                <w:szCs w:val="24"/>
              </w:rPr>
            </w:pPr>
            <w:r>
              <w:rPr>
                <w:rFonts w:hint="eastAsia"/>
                <w:sz w:val="24"/>
                <w:szCs w:val="24"/>
              </w:rPr>
              <w:t>房间名称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94" w:type="dxa"/>
            <w:shd w:val="clear" w:color="auto" w:fill="auto"/>
            <w:vAlign w:val="center"/>
          </w:tcPr>
          <w:p>
            <w:pPr>
              <w:ind w:left="0"/>
              <w:jc w:val="center"/>
              <w:rPr>
                <w:sz w:val="24"/>
                <w:szCs w:val="24"/>
              </w:rPr>
            </w:pPr>
            <w:r>
              <w:rPr>
                <w:rFonts w:hint="eastAsia"/>
                <w:sz w:val="24"/>
                <w:szCs w:val="24"/>
              </w:rPr>
              <w:t>1</w:t>
            </w:r>
          </w:p>
        </w:tc>
        <w:tc>
          <w:tcPr>
            <w:tcW w:w="1165" w:type="dxa"/>
            <w:shd w:val="clear" w:color="auto" w:fill="auto"/>
            <w:vAlign w:val="center"/>
          </w:tcPr>
          <w:p>
            <w:pPr>
              <w:ind w:left="0"/>
              <w:jc w:val="left"/>
              <w:rPr>
                <w:sz w:val="24"/>
                <w:szCs w:val="24"/>
              </w:rPr>
            </w:pPr>
            <w:r>
              <w:rPr>
                <w:rFonts w:hint="eastAsia"/>
                <w:sz w:val="24"/>
                <w:szCs w:val="24"/>
              </w:rPr>
              <w:t>接收区</w:t>
            </w:r>
          </w:p>
        </w:tc>
        <w:tc>
          <w:tcPr>
            <w:tcW w:w="6419" w:type="dxa"/>
            <w:shd w:val="clear" w:color="auto" w:fill="auto"/>
            <w:vAlign w:val="center"/>
          </w:tcPr>
          <w:p>
            <w:pPr>
              <w:ind w:left="0"/>
              <w:jc w:val="left"/>
              <w:rPr>
                <w:sz w:val="24"/>
                <w:szCs w:val="24"/>
              </w:rPr>
            </w:pPr>
            <w:r>
              <w:rPr>
                <w:rFonts w:hint="eastAsia"/>
                <w:sz w:val="24"/>
                <w:szCs w:val="24"/>
              </w:rPr>
              <w:t>登记、家属等候区、谈话室、家属卫生间、接收室、哺乳室等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94" w:type="dxa"/>
            <w:shd w:val="clear" w:color="auto" w:fill="auto"/>
            <w:vAlign w:val="center"/>
          </w:tcPr>
          <w:p>
            <w:pPr>
              <w:ind w:left="0"/>
              <w:jc w:val="center"/>
              <w:rPr>
                <w:sz w:val="24"/>
                <w:szCs w:val="24"/>
              </w:rPr>
            </w:pPr>
            <w:r>
              <w:rPr>
                <w:rFonts w:hint="eastAsia"/>
                <w:sz w:val="24"/>
                <w:szCs w:val="24"/>
              </w:rPr>
              <w:t>2</w:t>
            </w:r>
          </w:p>
        </w:tc>
        <w:tc>
          <w:tcPr>
            <w:tcW w:w="1165" w:type="dxa"/>
            <w:shd w:val="clear" w:color="auto" w:fill="auto"/>
            <w:vAlign w:val="center"/>
          </w:tcPr>
          <w:p>
            <w:pPr>
              <w:ind w:left="0"/>
              <w:jc w:val="left"/>
              <w:rPr>
                <w:sz w:val="24"/>
                <w:szCs w:val="24"/>
              </w:rPr>
            </w:pPr>
            <w:r>
              <w:rPr>
                <w:rFonts w:hint="eastAsia"/>
                <w:sz w:val="24"/>
                <w:szCs w:val="24"/>
              </w:rPr>
              <w:t>监护区</w:t>
            </w:r>
          </w:p>
        </w:tc>
        <w:tc>
          <w:tcPr>
            <w:tcW w:w="6419" w:type="dxa"/>
            <w:shd w:val="clear" w:color="auto" w:fill="auto"/>
            <w:vAlign w:val="center"/>
          </w:tcPr>
          <w:p>
            <w:pPr>
              <w:ind w:left="0"/>
              <w:jc w:val="left"/>
              <w:rPr>
                <w:sz w:val="24"/>
                <w:szCs w:val="24"/>
              </w:rPr>
            </w:pPr>
            <w:r>
              <w:rPr>
                <w:rFonts w:hint="eastAsia"/>
                <w:sz w:val="24"/>
                <w:szCs w:val="24"/>
              </w:rPr>
              <w:t>监护床位、隔离监护床、护士站、治疗室、处置室、药品室、器械室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94" w:type="dxa"/>
            <w:shd w:val="clear" w:color="auto" w:fill="auto"/>
            <w:vAlign w:val="center"/>
          </w:tcPr>
          <w:p>
            <w:pPr>
              <w:ind w:left="0"/>
              <w:jc w:val="center"/>
              <w:rPr>
                <w:sz w:val="24"/>
                <w:szCs w:val="24"/>
              </w:rPr>
            </w:pPr>
            <w:r>
              <w:rPr>
                <w:rFonts w:hint="eastAsia"/>
                <w:sz w:val="24"/>
                <w:szCs w:val="24"/>
              </w:rPr>
              <w:t>3</w:t>
            </w:r>
          </w:p>
        </w:tc>
        <w:tc>
          <w:tcPr>
            <w:tcW w:w="1165" w:type="dxa"/>
            <w:shd w:val="clear" w:color="auto" w:fill="auto"/>
            <w:vAlign w:val="center"/>
          </w:tcPr>
          <w:p>
            <w:pPr>
              <w:ind w:left="0"/>
              <w:jc w:val="left"/>
              <w:rPr>
                <w:sz w:val="24"/>
                <w:szCs w:val="24"/>
              </w:rPr>
            </w:pPr>
            <w:r>
              <w:rPr>
                <w:rFonts w:hint="eastAsia"/>
                <w:sz w:val="24"/>
                <w:szCs w:val="24"/>
              </w:rPr>
              <w:t>医护辅助区</w:t>
            </w:r>
          </w:p>
        </w:tc>
        <w:tc>
          <w:tcPr>
            <w:tcW w:w="6419" w:type="dxa"/>
            <w:shd w:val="clear" w:color="auto" w:fill="auto"/>
            <w:vAlign w:val="center"/>
          </w:tcPr>
          <w:p>
            <w:pPr>
              <w:ind w:left="0"/>
              <w:jc w:val="left"/>
              <w:rPr>
                <w:sz w:val="24"/>
                <w:szCs w:val="24"/>
              </w:rPr>
            </w:pPr>
            <w:r>
              <w:rPr>
                <w:rFonts w:hint="eastAsia"/>
                <w:sz w:val="24"/>
                <w:szCs w:val="24"/>
              </w:rPr>
              <w:t>办公室、休息室、会诊室（示教室）、值班、换鞋、更衣室、浴室、医护卫生间等</w:t>
            </w:r>
          </w:p>
        </w:tc>
      </w:tr>
    </w:tbl>
    <w:p>
      <w:pPr>
        <w:pStyle w:val="19"/>
        <w:numPr>
          <w:ilvl w:val="0"/>
          <w:numId w:val="0"/>
        </w:numPr>
        <w:ind w:left="420"/>
      </w:pPr>
    </w:p>
    <w:p>
      <w:pPr>
        <w:pStyle w:val="19"/>
        <w:numPr>
          <w:ilvl w:val="0"/>
          <w:numId w:val="4"/>
        </w:numPr>
      </w:pPr>
      <w:r>
        <w:rPr>
          <w:rFonts w:hint="eastAsia"/>
        </w:rPr>
        <w:t>对广州医科大学附属番禺中心医院综合应急大楼手术室、</w:t>
      </w:r>
      <w:r>
        <w:t>ICU</w:t>
      </w:r>
      <w:r>
        <w:rPr>
          <w:rFonts w:hint="eastAsia"/>
        </w:rPr>
        <w:t>的</w:t>
      </w:r>
      <w:r>
        <w:t>建设</w:t>
      </w:r>
      <w:r>
        <w:rPr>
          <w:rFonts w:hint="eastAsia"/>
        </w:rPr>
        <w:t>，提供专业的设计方案文件、技术方案文件。并介绍设计方案的依据和相对应的建设标准。（建设标准参考：</w:t>
      </w:r>
      <w:r>
        <w:t>《医院洁净手术部建筑技术规范》（GB 50333-2013）</w:t>
      </w:r>
      <w:r>
        <w:rPr>
          <w:rFonts w:hint="eastAsia"/>
        </w:rPr>
        <w:t>）</w:t>
      </w:r>
    </w:p>
    <w:p>
      <w:pPr>
        <w:pStyle w:val="19"/>
        <w:numPr>
          <w:ilvl w:val="0"/>
          <w:numId w:val="0"/>
        </w:numPr>
        <w:ind w:left="420"/>
      </w:pPr>
    </w:p>
    <w:p>
      <w:pPr>
        <w:pStyle w:val="19"/>
        <w:numPr>
          <w:ilvl w:val="0"/>
          <w:numId w:val="4"/>
        </w:numPr>
      </w:pPr>
      <w:r>
        <w:rPr>
          <w:rFonts w:hint="eastAsia"/>
        </w:rPr>
        <w:t>主要内容（包括但不限于）：</w:t>
      </w:r>
    </w:p>
    <w:p>
      <w:pPr>
        <w:ind w:left="0" w:firstLine="560" w:firstLineChars="200"/>
      </w:pPr>
      <w:r>
        <w:rPr>
          <w:rFonts w:hint="eastAsia"/>
        </w:rPr>
        <w:t>依据现行国家标准、技术规范、设计文件编制办法及采购人的要求，对广州医科大学附属番禺中心医院综合应急大楼手术室、</w:t>
      </w:r>
      <w:r>
        <w:t>ICU</w:t>
      </w:r>
      <w:r>
        <w:rPr>
          <w:rFonts w:hint="eastAsia"/>
        </w:rPr>
        <w:t>的</w:t>
      </w:r>
      <w:r>
        <w:t>建设</w:t>
      </w:r>
      <w:r>
        <w:rPr>
          <w:rFonts w:hint="eastAsia"/>
        </w:rPr>
        <w:t>提出设计方案建议，包括但不限于勘察、建筑、结构、电气（电力系统、动力、照明配电、火灾自动报警系统、智能化消防应急照明和疏散逃生指示系统、防雷及接地等）。</w:t>
      </w:r>
    </w:p>
    <w:p>
      <w:pPr>
        <w:pStyle w:val="2"/>
      </w:pPr>
    </w:p>
    <w:p>
      <w:pPr>
        <w:pStyle w:val="2"/>
        <w:numPr>
          <w:ilvl w:val="0"/>
          <w:numId w:val="3"/>
        </w:numPr>
      </w:pPr>
      <w:r>
        <w:rPr>
          <w:rFonts w:hint="eastAsia"/>
        </w:rPr>
        <w:t>方案征集：</w:t>
      </w:r>
    </w:p>
    <w:p>
      <w:pPr>
        <w:pStyle w:val="2"/>
        <w:ind w:left="0" w:firstLine="560" w:firstLineChars="200"/>
      </w:pPr>
      <w:r>
        <w:rPr>
          <w:rFonts w:hint="eastAsia"/>
        </w:rPr>
        <w:t>现公开面向市场征集广州医科大学附属番禺中心医院综合应急大楼手术室、</w:t>
      </w:r>
      <w:r>
        <w:t>ICU</w:t>
      </w:r>
      <w:r>
        <w:rPr>
          <w:rFonts w:hint="eastAsia"/>
        </w:rPr>
        <w:t>的</w:t>
      </w:r>
      <w:r>
        <w:t>建设</w:t>
      </w:r>
      <w:r>
        <w:rPr>
          <w:rFonts w:hint="eastAsia"/>
        </w:rPr>
        <w:t>方案。</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01B947"/>
    <w:multiLevelType w:val="singleLevel"/>
    <w:tmpl w:val="0501B947"/>
    <w:lvl w:ilvl="0" w:tentative="0">
      <w:start w:val="1"/>
      <w:numFmt w:val="chineseCounting"/>
      <w:suff w:val="nothing"/>
      <w:lvlText w:val="（%1）"/>
      <w:lvlJc w:val="left"/>
      <w:pPr>
        <w:ind w:left="0" w:firstLine="420"/>
      </w:pPr>
      <w:rPr>
        <w:rFonts w:hint="eastAsia"/>
      </w:rPr>
    </w:lvl>
  </w:abstractNum>
  <w:abstractNum w:abstractNumId="1">
    <w:nsid w:val="5208384F"/>
    <w:multiLevelType w:val="multilevel"/>
    <w:tmpl w:val="5208384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B4D907"/>
    <w:multiLevelType w:val="multilevel"/>
    <w:tmpl w:val="52B4D907"/>
    <w:lvl w:ilvl="0" w:tentative="0">
      <w:start w:val="1"/>
      <w:numFmt w:val="chineseCounting"/>
      <w:pStyle w:val="4"/>
      <w:suff w:val="space"/>
      <w:lvlText w:val="第%1章 "/>
      <w:lvlJc w:val="center"/>
      <w:pPr>
        <w:tabs>
          <w:tab w:val="left" w:pos="0"/>
        </w:tabs>
        <w:ind w:left="0" w:firstLine="0"/>
      </w:pPr>
      <w:rPr>
        <w:rFonts w:hint="eastAsia" w:ascii="Times New Roman" w:hAnsi="Times New Roman" w:eastAsia="黑体" w:cs="黑体"/>
        <w:sz w:val="32"/>
        <w:szCs w:val="32"/>
      </w:rPr>
    </w:lvl>
    <w:lvl w:ilvl="1" w:tentative="0">
      <w:start w:val="1"/>
      <w:numFmt w:val="decimal"/>
      <w:pStyle w:val="5"/>
      <w:isLgl/>
      <w:suff w:val="space"/>
      <w:lvlText w:val="%1.%2 "/>
      <w:lvlJc w:val="left"/>
      <w:pPr>
        <w:tabs>
          <w:tab w:val="left" w:pos="420"/>
        </w:tabs>
        <w:ind w:left="0" w:firstLine="0"/>
      </w:pPr>
      <w:rPr>
        <w:rFonts w:hint="eastAsia" w:ascii="黑体" w:hAnsi="黑体" w:eastAsia="黑体" w:cs="黑体"/>
        <w:sz w:val="28"/>
        <w:szCs w:val="28"/>
      </w:rPr>
    </w:lvl>
    <w:lvl w:ilvl="2" w:tentative="0">
      <w:start w:val="1"/>
      <w:numFmt w:val="decimal"/>
      <w:pStyle w:val="6"/>
      <w:isLgl/>
      <w:suff w:val="space"/>
      <w:lvlText w:val="%1.%2.%3 "/>
      <w:lvlJc w:val="left"/>
      <w:pPr>
        <w:tabs>
          <w:tab w:val="left" w:pos="0"/>
        </w:tabs>
        <w:ind w:left="2978" w:hanging="2978"/>
      </w:pPr>
      <w:rPr>
        <w:rFonts w:hint="eastAsia" w:ascii="Times New Roman" w:hAnsi="Times New Roman" w:eastAsia="仿宋_GB2312" w:cs="Times New Roman"/>
        <w:sz w:val="28"/>
        <w:szCs w:val="28"/>
      </w:rPr>
    </w:lvl>
    <w:lvl w:ilvl="3" w:tentative="0">
      <w:start w:val="1"/>
      <w:numFmt w:val="decimal"/>
      <w:pStyle w:val="7"/>
      <w:isLgl/>
      <w:suff w:val="space"/>
      <w:lvlText w:val="%1.%2.%3.%4 "/>
      <w:lvlJc w:val="left"/>
      <w:pPr>
        <w:tabs>
          <w:tab w:val="left" w:pos="420"/>
        </w:tabs>
        <w:ind w:left="0" w:firstLine="0"/>
      </w:pPr>
      <w:rPr>
        <w:rFonts w:hint="eastAsia" w:ascii="Times New Roman" w:hAnsi="Times New Roman" w:eastAsia="仿宋_GB2312" w:cs="Times New Roman"/>
        <w:sz w:val="28"/>
        <w:szCs w:val="28"/>
      </w:rPr>
    </w:lvl>
    <w:lvl w:ilvl="4" w:tentative="0">
      <w:start w:val="1"/>
      <w:numFmt w:val="decimal"/>
      <w:pStyle w:val="8"/>
      <w:isLgl/>
      <w:suff w:val="nothing"/>
      <w:lvlText w:val="%5. "/>
      <w:lvlJc w:val="left"/>
      <w:pPr>
        <w:tabs>
          <w:tab w:val="left" w:pos="0"/>
        </w:tabs>
        <w:ind w:left="-13" w:firstLine="567"/>
      </w:pPr>
      <w:rPr>
        <w:rFonts w:hint="eastAsia" w:ascii="Times New Roman" w:hAnsi="Times New Roman" w:eastAsia="仿宋_GB2312" w:cs="Times New Roman"/>
        <w:sz w:val="28"/>
        <w:szCs w:val="28"/>
      </w:rPr>
    </w:lvl>
    <w:lvl w:ilvl="5" w:tentative="0">
      <w:start w:val="1"/>
      <w:numFmt w:val="decimalFullWidth"/>
      <w:pStyle w:val="9"/>
      <w:isLgl/>
      <w:suff w:val="space"/>
      <w:lvlText w:val="（%6）"/>
      <w:lvlJc w:val="left"/>
      <w:pPr>
        <w:tabs>
          <w:tab w:val="left" w:pos="420"/>
        </w:tabs>
        <w:ind w:left="0" w:firstLine="567"/>
      </w:pPr>
      <w:rPr>
        <w:rFonts w:hint="eastAsia" w:ascii="Times New Roman" w:hAnsi="Times New Roman" w:eastAsia="仿宋_GB2312" w:cs="Times New Roman"/>
        <w:sz w:val="28"/>
        <w:szCs w:val="28"/>
      </w:rPr>
    </w:lvl>
    <w:lvl w:ilvl="6" w:tentative="0">
      <w:start w:val="1"/>
      <w:numFmt w:val="decimalEnclosedCircleChinese"/>
      <w:suff w:val="space"/>
      <w:lvlText w:val="%7"/>
      <w:lvlJc w:val="left"/>
      <w:pPr>
        <w:tabs>
          <w:tab w:val="left" w:pos="420"/>
        </w:tabs>
        <w:ind w:left="0" w:firstLine="567"/>
      </w:pPr>
      <w:rPr>
        <w:rFonts w:hint="eastAsia" w:ascii="Times New Roman" w:hAnsi="Times New Roman" w:eastAsia="仿宋_GB2312" w:cs="Times New Roman"/>
        <w:sz w:val="28"/>
        <w:szCs w:val="28"/>
      </w:rPr>
    </w:lvl>
    <w:lvl w:ilvl="7" w:tentative="0">
      <w:start w:val="1"/>
      <w:numFmt w:val="decimal"/>
      <w:lvlRestart w:val="2"/>
      <w:pStyle w:val="10"/>
      <w:isLgl/>
      <w:suff w:val="space"/>
      <w:lvlText w:val="图%1-%2-%8 "/>
      <w:lvlJc w:val="center"/>
      <w:pPr>
        <w:tabs>
          <w:tab w:val="left" w:pos="0"/>
        </w:tabs>
        <w:ind w:left="0" w:firstLine="0"/>
      </w:pPr>
      <w:rPr>
        <w:rFonts w:hint="eastAsia" w:ascii="黑体" w:hAnsi="黑体" w:eastAsia="黑体" w:cs="黑体"/>
        <w:b w:val="0"/>
        <w:sz w:val="28"/>
        <w:szCs w:val="28"/>
      </w:rPr>
    </w:lvl>
    <w:lvl w:ilvl="8" w:tentative="0">
      <w:start w:val="1"/>
      <w:numFmt w:val="decimal"/>
      <w:lvlRestart w:val="2"/>
      <w:pStyle w:val="11"/>
      <w:isLgl/>
      <w:suff w:val="space"/>
      <w:lvlText w:val="表%1-%2-%9 "/>
      <w:lvlJc w:val="left"/>
      <w:pPr>
        <w:tabs>
          <w:tab w:val="left" w:pos="0"/>
        </w:tabs>
        <w:ind w:left="0" w:firstLine="0"/>
      </w:pPr>
      <w:rPr>
        <w:rFonts w:hint="eastAsia" w:ascii="仿宋" w:hAnsi="仿宋" w:eastAsia="仿宋" w:cs="仿宋"/>
        <w:sz w:val="21"/>
        <w:szCs w:val="21"/>
      </w:rPr>
    </w:lvl>
  </w:abstractNum>
  <w:abstractNum w:abstractNumId="3">
    <w:nsid w:val="6A9760CA"/>
    <w:multiLevelType w:val="multilevel"/>
    <w:tmpl w:val="6A9760CA"/>
    <w:lvl w:ilvl="0" w:tentative="0">
      <w:start w:val="1"/>
      <w:numFmt w:val="decimal"/>
      <w:pStyle w:val="19"/>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0YjQ3ZTNiMGU5ODMwMGM0YjEzOTQ4NzBiZmUwYjMifQ=="/>
  </w:docVars>
  <w:rsids>
    <w:rsidRoot w:val="00107C94"/>
    <w:rsid w:val="00075086"/>
    <w:rsid w:val="00085A7D"/>
    <w:rsid w:val="00101ECF"/>
    <w:rsid w:val="00107C94"/>
    <w:rsid w:val="001617AB"/>
    <w:rsid w:val="001E2694"/>
    <w:rsid w:val="00205F25"/>
    <w:rsid w:val="002633DF"/>
    <w:rsid w:val="00282EA2"/>
    <w:rsid w:val="00297C0D"/>
    <w:rsid w:val="002A148B"/>
    <w:rsid w:val="002A7A99"/>
    <w:rsid w:val="002B0A65"/>
    <w:rsid w:val="00310AC4"/>
    <w:rsid w:val="0031269A"/>
    <w:rsid w:val="00317077"/>
    <w:rsid w:val="003307AC"/>
    <w:rsid w:val="00341C24"/>
    <w:rsid w:val="003705BE"/>
    <w:rsid w:val="003C5B90"/>
    <w:rsid w:val="003F03D2"/>
    <w:rsid w:val="004A0EFF"/>
    <w:rsid w:val="004C6DDB"/>
    <w:rsid w:val="00522B5B"/>
    <w:rsid w:val="00564FE2"/>
    <w:rsid w:val="00575D11"/>
    <w:rsid w:val="006D7F86"/>
    <w:rsid w:val="006E3C8A"/>
    <w:rsid w:val="007103C3"/>
    <w:rsid w:val="007315A2"/>
    <w:rsid w:val="00763D6C"/>
    <w:rsid w:val="007E02A9"/>
    <w:rsid w:val="008C4BAC"/>
    <w:rsid w:val="00920906"/>
    <w:rsid w:val="0097794E"/>
    <w:rsid w:val="009A3121"/>
    <w:rsid w:val="009B3596"/>
    <w:rsid w:val="009B5907"/>
    <w:rsid w:val="00A0034B"/>
    <w:rsid w:val="00A44559"/>
    <w:rsid w:val="00A557DB"/>
    <w:rsid w:val="00A55E18"/>
    <w:rsid w:val="00AB0D1F"/>
    <w:rsid w:val="00B205D3"/>
    <w:rsid w:val="00B4026A"/>
    <w:rsid w:val="00C3051B"/>
    <w:rsid w:val="00C77485"/>
    <w:rsid w:val="00D116B0"/>
    <w:rsid w:val="00D2583B"/>
    <w:rsid w:val="00D549CF"/>
    <w:rsid w:val="00D827C3"/>
    <w:rsid w:val="00DA28C4"/>
    <w:rsid w:val="00E027D5"/>
    <w:rsid w:val="00E55573"/>
    <w:rsid w:val="00E957F8"/>
    <w:rsid w:val="00E97803"/>
    <w:rsid w:val="00EE3A47"/>
    <w:rsid w:val="00F037B6"/>
    <w:rsid w:val="00F047A7"/>
    <w:rsid w:val="00FA58B5"/>
    <w:rsid w:val="013646FE"/>
    <w:rsid w:val="06AC026C"/>
    <w:rsid w:val="0F0752A1"/>
    <w:rsid w:val="128114D6"/>
    <w:rsid w:val="162576C9"/>
    <w:rsid w:val="19212219"/>
    <w:rsid w:val="1C976FB2"/>
    <w:rsid w:val="2158004C"/>
    <w:rsid w:val="227D5699"/>
    <w:rsid w:val="2A043DF9"/>
    <w:rsid w:val="2D97686A"/>
    <w:rsid w:val="30030473"/>
    <w:rsid w:val="32802A6C"/>
    <w:rsid w:val="34A633D5"/>
    <w:rsid w:val="3987098E"/>
    <w:rsid w:val="3A5C5803"/>
    <w:rsid w:val="3BAD594C"/>
    <w:rsid w:val="3C294576"/>
    <w:rsid w:val="3E9F12F5"/>
    <w:rsid w:val="400B40D4"/>
    <w:rsid w:val="45593DAD"/>
    <w:rsid w:val="4B53617F"/>
    <w:rsid w:val="506426D3"/>
    <w:rsid w:val="558A2919"/>
    <w:rsid w:val="630A66E1"/>
    <w:rsid w:val="66B35B75"/>
    <w:rsid w:val="6B0C2230"/>
    <w:rsid w:val="6FDFAFAD"/>
    <w:rsid w:val="71211781"/>
    <w:rsid w:val="789B7088"/>
    <w:rsid w:val="7BCE64DE"/>
    <w:rsid w:val="7CA15A45"/>
    <w:rsid w:val="CEB9841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9"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left="420"/>
      <w:jc w:val="both"/>
    </w:pPr>
    <w:rPr>
      <w:rFonts w:ascii="宋体" w:hAnsi="宋体" w:eastAsia="宋体" w:cstheme="minorBidi"/>
      <w:kern w:val="2"/>
      <w:sz w:val="28"/>
      <w:szCs w:val="28"/>
      <w:lang w:val="en-US" w:eastAsia="zh-CN" w:bidi="ar-SA"/>
    </w:rPr>
  </w:style>
  <w:style w:type="paragraph" w:styleId="4">
    <w:name w:val="heading 1"/>
    <w:basedOn w:val="1"/>
    <w:next w:val="1"/>
    <w:link w:val="22"/>
    <w:qFormat/>
    <w:uiPriority w:val="0"/>
    <w:pPr>
      <w:keepNext/>
      <w:keepLines/>
      <w:numPr>
        <w:ilvl w:val="0"/>
        <w:numId w:val="1"/>
      </w:numPr>
      <w:tabs>
        <w:tab w:val="left" w:pos="420"/>
        <w:tab w:val="clear" w:pos="0"/>
      </w:tabs>
      <w:jc w:val="center"/>
      <w:outlineLvl w:val="0"/>
    </w:pPr>
    <w:rPr>
      <w:rFonts w:ascii="黑体" w:hAnsi="黑体" w:eastAsia="黑体" w:cs="Times New Roman"/>
      <w:bCs/>
      <w:kern w:val="44"/>
      <w:sz w:val="32"/>
      <w:szCs w:val="32"/>
    </w:rPr>
  </w:style>
  <w:style w:type="paragraph" w:styleId="5">
    <w:name w:val="heading 2"/>
    <w:basedOn w:val="1"/>
    <w:next w:val="1"/>
    <w:link w:val="23"/>
    <w:unhideWhenUsed/>
    <w:qFormat/>
    <w:uiPriority w:val="0"/>
    <w:pPr>
      <w:keepNext/>
      <w:keepLines/>
      <w:numPr>
        <w:ilvl w:val="1"/>
        <w:numId w:val="1"/>
      </w:numPr>
      <w:tabs>
        <w:tab w:val="left" w:pos="0"/>
      </w:tabs>
      <w:outlineLvl w:val="1"/>
    </w:pPr>
    <w:rPr>
      <w:rFonts w:ascii="Times New Roman" w:hAnsi="Times New Roman" w:eastAsia="黑体" w:cs="Times New Roman"/>
      <w:bCs/>
    </w:rPr>
  </w:style>
  <w:style w:type="paragraph" w:styleId="6">
    <w:name w:val="heading 3"/>
    <w:basedOn w:val="1"/>
    <w:next w:val="1"/>
    <w:link w:val="24"/>
    <w:unhideWhenUsed/>
    <w:qFormat/>
    <w:uiPriority w:val="0"/>
    <w:pPr>
      <w:keepNext/>
      <w:keepLines/>
      <w:numPr>
        <w:ilvl w:val="2"/>
        <w:numId w:val="1"/>
      </w:numPr>
      <w:tabs>
        <w:tab w:val="left" w:pos="3398"/>
        <w:tab w:val="left" w:pos="3965"/>
      </w:tabs>
      <w:ind w:firstLine="0"/>
      <w:jc w:val="left"/>
      <w:outlineLvl w:val="2"/>
    </w:pPr>
    <w:rPr>
      <w:rFonts w:ascii="Times New Roman" w:hAnsi="Times New Roman" w:eastAsia="仿宋_GB2312" w:cs="Times New Roman"/>
    </w:rPr>
  </w:style>
  <w:style w:type="paragraph" w:styleId="7">
    <w:name w:val="heading 4"/>
    <w:basedOn w:val="1"/>
    <w:next w:val="1"/>
    <w:link w:val="25"/>
    <w:unhideWhenUsed/>
    <w:qFormat/>
    <w:uiPriority w:val="0"/>
    <w:pPr>
      <w:keepNext/>
      <w:keepLines/>
      <w:numPr>
        <w:ilvl w:val="3"/>
        <w:numId w:val="1"/>
      </w:numPr>
      <w:tabs>
        <w:tab w:val="left" w:pos="0"/>
      </w:tabs>
      <w:outlineLvl w:val="3"/>
    </w:pPr>
    <w:rPr>
      <w:rFonts w:ascii="Times New Roman" w:hAnsi="Times New Roman" w:eastAsia="仿宋_GB2312" w:cs="Times New Roman"/>
    </w:rPr>
  </w:style>
  <w:style w:type="paragraph" w:styleId="8">
    <w:name w:val="heading 5"/>
    <w:basedOn w:val="1"/>
    <w:next w:val="1"/>
    <w:link w:val="26"/>
    <w:unhideWhenUsed/>
    <w:qFormat/>
    <w:uiPriority w:val="0"/>
    <w:pPr>
      <w:keepNext/>
      <w:keepLines/>
      <w:numPr>
        <w:ilvl w:val="4"/>
        <w:numId w:val="1"/>
      </w:numPr>
      <w:tabs>
        <w:tab w:val="left" w:pos="420"/>
      </w:tabs>
      <w:jc w:val="left"/>
      <w:outlineLvl w:val="4"/>
    </w:pPr>
    <w:rPr>
      <w:rFonts w:ascii="Times New Roman" w:hAnsi="Times New Roman" w:eastAsia="仿宋_GB2312" w:cs="仿宋_GB2312"/>
    </w:rPr>
  </w:style>
  <w:style w:type="paragraph" w:styleId="9">
    <w:name w:val="heading 6"/>
    <w:basedOn w:val="1"/>
    <w:next w:val="1"/>
    <w:link w:val="27"/>
    <w:unhideWhenUsed/>
    <w:qFormat/>
    <w:uiPriority w:val="0"/>
    <w:pPr>
      <w:keepNext/>
      <w:keepLines/>
      <w:numPr>
        <w:ilvl w:val="5"/>
        <w:numId w:val="1"/>
      </w:numPr>
      <w:outlineLvl w:val="5"/>
    </w:pPr>
    <w:rPr>
      <w:rFonts w:ascii="Times New Roman" w:hAnsi="Times New Roman" w:eastAsia="仿宋_GB2312" w:cs="仿宋_GB2312"/>
    </w:rPr>
  </w:style>
  <w:style w:type="paragraph" w:styleId="10">
    <w:name w:val="heading 8"/>
    <w:basedOn w:val="1"/>
    <w:next w:val="1"/>
    <w:link w:val="28"/>
    <w:unhideWhenUsed/>
    <w:qFormat/>
    <w:uiPriority w:val="0"/>
    <w:pPr>
      <w:keepLines/>
      <w:numPr>
        <w:ilvl w:val="7"/>
        <w:numId w:val="1"/>
      </w:numPr>
      <w:tabs>
        <w:tab w:val="center" w:pos="0"/>
        <w:tab w:val="left" w:pos="420"/>
      </w:tabs>
      <w:jc w:val="center"/>
      <w:outlineLvl w:val="7"/>
    </w:pPr>
    <w:rPr>
      <w:rFonts w:ascii="Arial" w:hAnsi="Arial" w:eastAsia="黑体" w:cs="Times New Roman"/>
      <w:color w:val="000000"/>
    </w:rPr>
  </w:style>
  <w:style w:type="paragraph" w:styleId="11">
    <w:name w:val="heading 9"/>
    <w:basedOn w:val="1"/>
    <w:next w:val="1"/>
    <w:link w:val="29"/>
    <w:unhideWhenUsed/>
    <w:qFormat/>
    <w:uiPriority w:val="0"/>
    <w:pPr>
      <w:keepNext/>
      <w:keepLines/>
      <w:numPr>
        <w:ilvl w:val="8"/>
        <w:numId w:val="1"/>
      </w:numPr>
      <w:snapToGrid w:val="0"/>
      <w:outlineLvl w:val="8"/>
    </w:pPr>
    <w:rPr>
      <w:rFonts w:ascii="Times New Roman" w:hAnsi="Times New Roman" w:eastAsia="仿宋_GB2312" w:cs="Times New Roman"/>
      <w:color w:val="00000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annotation text"/>
    <w:basedOn w:val="1"/>
    <w:next w:val="3"/>
    <w:qFormat/>
    <w:uiPriority w:val="0"/>
    <w:pPr>
      <w:jc w:val="left"/>
    </w:pPr>
  </w:style>
  <w:style w:type="paragraph" w:styleId="3">
    <w:name w:val="Balloon Text"/>
    <w:basedOn w:val="1"/>
    <w:semiHidden/>
    <w:qFormat/>
    <w:uiPriority w:val="0"/>
    <w:rPr>
      <w:sz w:val="18"/>
      <w:szCs w:val="18"/>
    </w:rPr>
  </w:style>
  <w:style w:type="paragraph" w:styleId="12">
    <w:name w:val="Body Text"/>
    <w:basedOn w:val="1"/>
    <w:unhideWhenUsed/>
    <w:qFormat/>
    <w:uiPriority w:val="99"/>
    <w:pPr>
      <w:spacing w:before="100" w:beforeAutospacing="1"/>
    </w:pPr>
    <w:rPr>
      <w:kern w:val="0"/>
      <w:sz w:val="20"/>
    </w:rPr>
  </w:style>
  <w:style w:type="paragraph" w:styleId="13">
    <w:name w:val="footer"/>
    <w:basedOn w:val="1"/>
    <w:link w:val="21"/>
    <w:unhideWhenUsed/>
    <w:qFormat/>
    <w:uiPriority w:val="99"/>
    <w:pPr>
      <w:tabs>
        <w:tab w:val="center" w:pos="4153"/>
        <w:tab w:val="right" w:pos="8306"/>
      </w:tabs>
      <w:snapToGrid w:val="0"/>
      <w:jc w:val="left"/>
    </w:pPr>
    <w:rPr>
      <w:sz w:val="18"/>
      <w:szCs w:val="18"/>
    </w:rPr>
  </w:style>
  <w:style w:type="paragraph" w:styleId="14">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First Indent"/>
    <w:basedOn w:val="12"/>
    <w:unhideWhenUsed/>
    <w:qFormat/>
    <w:uiPriority w:val="99"/>
    <w:pPr>
      <w:spacing w:before="0" w:beforeAutospacing="0" w:after="120"/>
      <w:ind w:firstLine="420" w:firstLineChars="100"/>
    </w:pPr>
    <w:rPr>
      <w:rFonts w:ascii="Times New Roman" w:hAnsi="Times New Roman" w:cs="Times New Roman"/>
      <w:szCs w:val="20"/>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List Paragraph"/>
    <w:basedOn w:val="1"/>
    <w:qFormat/>
    <w:uiPriority w:val="34"/>
    <w:pPr>
      <w:numPr>
        <w:ilvl w:val="0"/>
        <w:numId w:val="2"/>
      </w:numPr>
      <w:tabs>
        <w:tab w:val="left" w:pos="709"/>
      </w:tabs>
    </w:pPr>
  </w:style>
  <w:style w:type="character" w:customStyle="1" w:styleId="20">
    <w:name w:val="页眉 字符"/>
    <w:basedOn w:val="18"/>
    <w:link w:val="14"/>
    <w:qFormat/>
    <w:uiPriority w:val="99"/>
    <w:rPr>
      <w:sz w:val="18"/>
      <w:szCs w:val="18"/>
    </w:rPr>
  </w:style>
  <w:style w:type="character" w:customStyle="1" w:styleId="21">
    <w:name w:val="页脚 字符"/>
    <w:basedOn w:val="18"/>
    <w:link w:val="13"/>
    <w:qFormat/>
    <w:uiPriority w:val="99"/>
    <w:rPr>
      <w:sz w:val="18"/>
      <w:szCs w:val="18"/>
    </w:rPr>
  </w:style>
  <w:style w:type="character" w:customStyle="1" w:styleId="22">
    <w:name w:val="标题 1 字符"/>
    <w:basedOn w:val="18"/>
    <w:link w:val="4"/>
    <w:uiPriority w:val="0"/>
    <w:rPr>
      <w:rFonts w:ascii="黑体" w:hAnsi="黑体" w:eastAsia="黑体"/>
      <w:bCs/>
      <w:kern w:val="44"/>
      <w:sz w:val="32"/>
      <w:szCs w:val="32"/>
    </w:rPr>
  </w:style>
  <w:style w:type="character" w:customStyle="1" w:styleId="23">
    <w:name w:val="标题 2 字符"/>
    <w:basedOn w:val="18"/>
    <w:link w:val="5"/>
    <w:uiPriority w:val="0"/>
    <w:rPr>
      <w:rFonts w:eastAsia="黑体"/>
      <w:bCs/>
      <w:kern w:val="2"/>
      <w:sz w:val="28"/>
      <w:szCs w:val="28"/>
    </w:rPr>
  </w:style>
  <w:style w:type="character" w:customStyle="1" w:styleId="24">
    <w:name w:val="标题 3 字符"/>
    <w:basedOn w:val="18"/>
    <w:link w:val="6"/>
    <w:uiPriority w:val="0"/>
    <w:rPr>
      <w:rFonts w:eastAsia="仿宋_GB2312"/>
      <w:kern w:val="2"/>
      <w:sz w:val="28"/>
      <w:szCs w:val="28"/>
    </w:rPr>
  </w:style>
  <w:style w:type="character" w:customStyle="1" w:styleId="25">
    <w:name w:val="标题 4 字符"/>
    <w:basedOn w:val="18"/>
    <w:link w:val="7"/>
    <w:qFormat/>
    <w:uiPriority w:val="0"/>
    <w:rPr>
      <w:rFonts w:eastAsia="仿宋_GB2312"/>
      <w:kern w:val="2"/>
      <w:sz w:val="28"/>
      <w:szCs w:val="28"/>
    </w:rPr>
  </w:style>
  <w:style w:type="character" w:customStyle="1" w:styleId="26">
    <w:name w:val="标题 5 字符"/>
    <w:basedOn w:val="18"/>
    <w:link w:val="8"/>
    <w:uiPriority w:val="0"/>
    <w:rPr>
      <w:rFonts w:eastAsia="仿宋_GB2312" w:cs="仿宋_GB2312"/>
      <w:kern w:val="2"/>
      <w:sz w:val="28"/>
      <w:szCs w:val="28"/>
    </w:rPr>
  </w:style>
  <w:style w:type="character" w:customStyle="1" w:styleId="27">
    <w:name w:val="标题 6 字符"/>
    <w:basedOn w:val="18"/>
    <w:link w:val="9"/>
    <w:uiPriority w:val="0"/>
    <w:rPr>
      <w:rFonts w:eastAsia="仿宋_GB2312" w:cs="仿宋_GB2312"/>
      <w:kern w:val="2"/>
      <w:sz w:val="28"/>
      <w:szCs w:val="28"/>
    </w:rPr>
  </w:style>
  <w:style w:type="character" w:customStyle="1" w:styleId="28">
    <w:name w:val="标题 8 字符"/>
    <w:basedOn w:val="18"/>
    <w:link w:val="10"/>
    <w:uiPriority w:val="0"/>
    <w:rPr>
      <w:rFonts w:ascii="Arial" w:hAnsi="Arial" w:eastAsia="黑体"/>
      <w:color w:val="000000"/>
      <w:kern w:val="2"/>
      <w:sz w:val="28"/>
      <w:szCs w:val="28"/>
    </w:rPr>
  </w:style>
  <w:style w:type="character" w:customStyle="1" w:styleId="29">
    <w:name w:val="标题 9 字符"/>
    <w:basedOn w:val="18"/>
    <w:link w:val="11"/>
    <w:uiPriority w:val="0"/>
    <w:rPr>
      <w:rFonts w:eastAsia="仿宋_GB2312"/>
      <w:color w:val="000000"/>
      <w:kern w:val="2"/>
      <w:sz w:val="21"/>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