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 w:eastAsia="宋体"/>
          <w:sz w:val="28"/>
          <w:szCs w:val="28"/>
        </w:rPr>
      </w:pPr>
      <w:bookmarkStart w:id="0" w:name="_GoBack"/>
      <w:bookmarkEnd w:id="0"/>
      <w:r>
        <w:rPr>
          <w:rFonts w:hint="eastAsia" w:ascii="宋体" w:hAnsi="宋体" w:eastAsia="宋体"/>
          <w:sz w:val="28"/>
          <w:szCs w:val="28"/>
        </w:rPr>
        <w:t>《广州市番禺区中心医院静脉用药调配中心管理系统（</w:t>
      </w:r>
      <w:r>
        <w:rPr>
          <w:rFonts w:ascii="宋体" w:hAnsi="宋体" w:eastAsia="宋体"/>
          <w:sz w:val="28"/>
          <w:szCs w:val="28"/>
        </w:rPr>
        <w:t>pivas）</w:t>
      </w:r>
      <w:r>
        <w:rPr>
          <w:rFonts w:hint="eastAsia" w:ascii="宋体" w:hAnsi="宋体" w:eastAsia="宋体"/>
          <w:sz w:val="28"/>
          <w:szCs w:val="28"/>
        </w:rPr>
        <w:t>》</w:t>
      </w:r>
    </w:p>
    <w:p>
      <w:pPr>
        <w:jc w:val="center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采购项目需求书</w:t>
      </w:r>
    </w:p>
    <w:p>
      <w:pPr>
        <w:jc w:val="left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一、功能清单</w:t>
      </w:r>
    </w:p>
    <w:tbl>
      <w:tblPr>
        <w:tblStyle w:val="4"/>
        <w:tblW w:w="0" w:type="auto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7"/>
        <w:gridCol w:w="1164"/>
        <w:gridCol w:w="688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序号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功能模块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具体参数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0" w:type="auto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工作模式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 xml:space="preserve">   </w:t>
            </w:r>
            <w:r>
              <w:rPr>
                <w:rFonts w:ascii="等线" w:hAnsi="等线" w:eastAsia="等线" w:cs="宋体"/>
                <w:color w:val="000000"/>
                <w:kern w:val="0"/>
                <w:sz w:val="22"/>
              </w:rPr>
              <w:t xml:space="preserve"> </w:t>
            </w: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支持多种工作模式，可同时支持按病区摆药、按药品品种摆药、按药品类型摆药等，保证用药安全的前提下提高工作效率。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0" w:type="auto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医嘱提取功能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 xml:space="preserve">    支持单病区提取医嘱、多病区提取医嘱、自动提取医嘱等获取药疗医嘱等信息，自动完成批次规划；系统展示内容丰富，可快速查找需要查找的各种信息。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医嘱配置功能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支持长期、临时医嘱全天24小时配置。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一键打印功能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可按预先设定的规则一键打印所需药品清单和标签等药疗信息。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0" w:hRule="atLeast"/>
        </w:trPr>
        <w:tc>
          <w:tcPr>
            <w:tcW w:w="0" w:type="auto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闭环管理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 xml:space="preserve">    用无线技术和二维码技术，通过PDA实现全程扫描，可对全部流程数据进行记录和追踪：包括审方、摆药、摆药复核、入仓复核、配置复核、成品复核、打包配送、成品接收、患者输液等，实现静配中心操作规范化、管理精细化，满足医院对数据的需求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0" w:type="auto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PIVAS中心工作站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 xml:space="preserve">    医嘱审查、智能分批、标签打印及重打、摆药扫描、贴签扫描、摆药核对扫描、配置扫描、成品复核、成品交接单打印、输液配送人员扫描、相关基础资料配置、相关查询统计分析功能。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0" w:type="auto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PIVAS医护工作站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 xml:space="preserve">    提供静配中心病区客户端业务流程管理，主要功能包括：医嘱审查退回处理、输液单查询、药品签收、病区批次修改、提前打包、单组停药。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95" w:hRule="atLeast"/>
        </w:trPr>
        <w:tc>
          <w:tcPr>
            <w:tcW w:w="0" w:type="auto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注射剂自定义合理用药系统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 xml:space="preserve">    支持药物说明书、剂量、浓度、配伍禁忌、相互作用、哺乳期、妊娠期、儿童、副作用、禁忌症等各项审查规则配置，满足医院自身用药习惯。同时支持嵌入第三方审查软件对医嘱进行全面审查，在HIS系统支持的情况下实现退回未审核通过的医嘱，拒绝调配；药师对不合格的医嘱进行人工分类和点评，提供给病区参考意见。分类内容和点评意见可自定义设定，并可根据日期段统计查看点评内容，并可生成处方点评分类报表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5" w:hRule="atLeast"/>
        </w:trPr>
        <w:tc>
          <w:tcPr>
            <w:tcW w:w="0" w:type="auto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TPN审查系统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 xml:space="preserve">    TPN医嘱关键指标计算及合理性检测，主要包括：病人能量需求计算；计算关键指标值；判断特殊药品含量是否合理；判断医嘱是否缺少关键药物，或缺少关键药物组合，并检测特殊药物配伍；判断钾离子深度是否合理；判断一价、二价离子浓度是否合理等；判断相关指标的合理性范围；其他相关合理性判断，支持根据用户规则修改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5" w:hRule="atLeast"/>
        </w:trPr>
        <w:tc>
          <w:tcPr>
            <w:tcW w:w="0" w:type="auto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仓内外扫描系统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 xml:space="preserve">       通过PDA统一实现仓内、仓外扫描及各环节扫描APP，根据工作实际需要选用，也可根据用户需求快速定制扫描APP，通常定制一个扫描APP一小时。主要扫描APP如下：</w:t>
            </w: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摆药扫描、贴签扫描、摆药核对扫描、配置扫描（仓内配置扫描）、成品复核扫描、分拣装箱扫描、输液配送人员扫描、打包二次核对扫描、停配药确认扫描、退药确认扫描。PIVAS也可以根据实际工作需要，快速定制APP及相应业务逻辑；</w:t>
            </w: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在每一个扫描环节系统自动检测医嘱和患者状态，实时有效拦截退药医嘱，并自动完成退药退费，避免退药被加，造成浪费，也无需专门安排人员查找退药；在HIS系统支持下，可实现配置时计费，不配置不计费，拦截到的退药只需将药品退回货架即可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绩效计算模块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可单个药品设置配置难度系数，并生成整体的工作量数据。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0" w:type="auto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智能设备技术服务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 xml:space="preserve">   支持PIVAS包括智能存取、针剂摆药机、贴签机、分拣机等智能设备的技术服务，如接口对接等。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CA签名功能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与CA对接，实现电子签名、时间戳、电子公章等功能。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0" w:hRule="atLeast"/>
        </w:trPr>
        <w:tc>
          <w:tcPr>
            <w:tcW w:w="0" w:type="auto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接口对接要求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 xml:space="preserve">   接口要求：能与医院集中平台、药房、药库、医护工作站、移动护理等系统对接，与摆药机、分拣机等设备对接。支持退药、库存管理并与医院药房库系统、医护工作站，支持各厂家HIS系统，支持以视图方式、支持以WebService方式、支持以平台方式完成接口，对接费用包含在本项目中，乙方不另外收取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自动备份功能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支持数据库定期自动备份。</w:t>
            </w:r>
          </w:p>
        </w:tc>
      </w:tr>
    </w:tbl>
    <w:p>
      <w:pPr>
        <w:jc w:val="left"/>
        <w:rPr>
          <w:rFonts w:ascii="宋体" w:hAnsi="宋体" w:eastAsia="宋体"/>
          <w:sz w:val="28"/>
          <w:szCs w:val="28"/>
        </w:rPr>
      </w:pPr>
    </w:p>
    <w:p>
      <w:pPr>
        <w:jc w:val="left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二、技术要求：</w:t>
      </w:r>
    </w:p>
    <w:p>
      <w:pPr>
        <w:ind w:firstLine="560" w:firstLineChars="200"/>
        <w:jc w:val="left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供应商需承诺提供保修期内的软件版本须均为市场上最新版本。总价包含乙方服务、软件接口、设计、安装、配件、工具、运输、保险、调试、培训、各项税费及合同实施过程中不可预见的所有费用。</w:t>
      </w:r>
    </w:p>
    <w:p>
      <w:pPr>
        <w:jc w:val="left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三、服务要求</w:t>
      </w:r>
    </w:p>
    <w:p>
      <w:pPr>
        <w:ind w:firstLine="560" w:firstLineChars="200"/>
        <w:jc w:val="left"/>
        <w:rPr>
          <w:rFonts w:ascii="宋体" w:hAnsi="宋体" w:eastAsia="宋体"/>
          <w:sz w:val="28"/>
          <w:szCs w:val="28"/>
        </w:rPr>
      </w:pPr>
      <w:r>
        <w:rPr>
          <w:rFonts w:ascii="宋体" w:hAnsi="宋体" w:eastAsia="宋体"/>
          <w:sz w:val="28"/>
          <w:szCs w:val="28"/>
        </w:rPr>
        <w:t>1、承诺对涉及到系统进行日常维护和监控，保障功能正常、安全运行。</w:t>
      </w:r>
    </w:p>
    <w:p>
      <w:pPr>
        <w:ind w:firstLine="560" w:firstLineChars="200"/>
        <w:jc w:val="left"/>
        <w:rPr>
          <w:rFonts w:ascii="宋体" w:hAnsi="宋体" w:eastAsia="宋体"/>
          <w:sz w:val="28"/>
          <w:szCs w:val="28"/>
        </w:rPr>
      </w:pPr>
      <w:r>
        <w:rPr>
          <w:rFonts w:ascii="宋体" w:hAnsi="宋体" w:eastAsia="宋体"/>
          <w:sz w:val="28"/>
          <w:szCs w:val="28"/>
        </w:rPr>
        <w:t>2、提供技术文档等平台相关文件，在质保期届满之前对技术文档等相关文件进行更新。</w:t>
      </w:r>
    </w:p>
    <w:p>
      <w:pPr>
        <w:ind w:firstLine="560" w:firstLineChars="200"/>
        <w:jc w:val="left"/>
        <w:rPr>
          <w:rFonts w:ascii="宋体" w:hAnsi="宋体" w:eastAsia="宋体"/>
          <w:sz w:val="28"/>
          <w:szCs w:val="28"/>
        </w:rPr>
      </w:pPr>
      <w:r>
        <w:rPr>
          <w:rFonts w:ascii="宋体" w:hAnsi="宋体" w:eastAsia="宋体"/>
          <w:sz w:val="28"/>
          <w:szCs w:val="28"/>
        </w:rPr>
        <w:t>3、</w:t>
      </w:r>
      <w:r>
        <w:rPr>
          <w:rFonts w:hint="eastAsia" w:ascii="宋体" w:hAnsi="宋体" w:eastAsia="宋体"/>
          <w:sz w:val="28"/>
          <w:szCs w:val="28"/>
        </w:rPr>
        <w:t>项目</w:t>
      </w:r>
      <w:r>
        <w:rPr>
          <w:rFonts w:ascii="宋体" w:hAnsi="宋体" w:eastAsia="宋体"/>
          <w:sz w:val="28"/>
          <w:szCs w:val="28"/>
        </w:rPr>
        <w:t>验收合格后，供应商提供5年跟踪维护服务。如需续保，则另行签署协议约定。</w:t>
      </w:r>
    </w:p>
    <w:p>
      <w:pPr>
        <w:ind w:firstLine="560" w:firstLineChars="200"/>
        <w:jc w:val="left"/>
        <w:rPr>
          <w:rFonts w:ascii="宋体" w:hAnsi="宋体" w:eastAsia="宋体"/>
          <w:sz w:val="28"/>
          <w:szCs w:val="28"/>
        </w:rPr>
      </w:pPr>
      <w:r>
        <w:rPr>
          <w:rFonts w:ascii="宋体" w:hAnsi="宋体" w:eastAsia="宋体"/>
          <w:sz w:val="28"/>
          <w:szCs w:val="28"/>
        </w:rPr>
        <w:t>4、系统发生故障时，供应商工程师提出合理解决方案并负责工作至故障排除，供应商均保证在 1 小时内响应，并在3小时内解决问题。</w:t>
      </w:r>
    </w:p>
    <w:p>
      <w:pPr>
        <w:ind w:firstLine="560" w:firstLineChars="200"/>
        <w:jc w:val="left"/>
        <w:rPr>
          <w:rFonts w:ascii="宋体" w:hAnsi="宋体" w:eastAsia="宋体"/>
          <w:sz w:val="28"/>
          <w:szCs w:val="28"/>
        </w:rPr>
      </w:pPr>
      <w:r>
        <w:rPr>
          <w:rFonts w:ascii="宋体" w:hAnsi="宋体" w:eastAsia="宋体"/>
          <w:sz w:val="28"/>
          <w:szCs w:val="28"/>
        </w:rPr>
        <w:t>5、在</w:t>
      </w:r>
      <w:r>
        <w:rPr>
          <w:rFonts w:hint="eastAsia" w:ascii="宋体" w:hAnsi="宋体" w:eastAsia="宋体"/>
          <w:sz w:val="28"/>
          <w:szCs w:val="28"/>
        </w:rPr>
        <w:t>实施期内，供应商需指派1</w:t>
      </w:r>
      <w:r>
        <w:rPr>
          <w:rFonts w:ascii="宋体" w:hAnsi="宋体" w:eastAsia="宋体"/>
          <w:sz w:val="28"/>
          <w:szCs w:val="28"/>
        </w:rPr>
        <w:t>-2</w:t>
      </w:r>
      <w:r>
        <w:rPr>
          <w:rFonts w:hint="eastAsia" w:ascii="宋体" w:hAnsi="宋体" w:eastAsia="宋体"/>
          <w:sz w:val="28"/>
          <w:szCs w:val="28"/>
        </w:rPr>
        <w:t>名项目工程师驻点实施，直到系统验收合格；</w:t>
      </w:r>
      <w:r>
        <w:rPr>
          <w:rFonts w:ascii="宋体" w:hAnsi="宋体" w:eastAsia="宋体"/>
          <w:sz w:val="28"/>
          <w:szCs w:val="28"/>
        </w:rPr>
        <w:t>维护服务期内，供应商需指派至少 1 名熟悉</w:t>
      </w:r>
      <w:r>
        <w:rPr>
          <w:rFonts w:hint="eastAsia" w:ascii="宋体" w:hAnsi="宋体" w:eastAsia="宋体"/>
          <w:sz w:val="28"/>
          <w:szCs w:val="28"/>
        </w:rPr>
        <w:t>运维</w:t>
      </w:r>
      <w:r>
        <w:rPr>
          <w:rFonts w:ascii="宋体" w:hAnsi="宋体" w:eastAsia="宋体"/>
          <w:sz w:val="28"/>
          <w:szCs w:val="28"/>
        </w:rPr>
        <w:t>服务的工程师负责系统的日常维护工作</w:t>
      </w:r>
      <w:r>
        <w:rPr>
          <w:rFonts w:hint="eastAsia" w:ascii="宋体" w:hAnsi="宋体" w:eastAsia="宋体"/>
          <w:sz w:val="28"/>
          <w:szCs w:val="28"/>
        </w:rPr>
        <w:t>（包括但不限于现场、QQ、微信、远程维护服务）</w:t>
      </w:r>
      <w:r>
        <w:rPr>
          <w:rFonts w:ascii="宋体" w:hAnsi="宋体" w:eastAsia="宋体"/>
          <w:sz w:val="28"/>
          <w:szCs w:val="28"/>
        </w:rPr>
        <w:t>，如我院对供应商所委派工程师有意见或认为不合适的情况下，可提前 5 个工作日以书面形式要求供应商更换符合要求的工程师，供应商应在接到我院要求后的 15 个工作日内无条件予以更换。</w:t>
      </w:r>
    </w:p>
    <w:p>
      <w:pPr>
        <w:ind w:firstLine="560" w:firstLineChars="200"/>
        <w:jc w:val="left"/>
        <w:rPr>
          <w:rFonts w:ascii="宋体" w:hAnsi="宋体" w:eastAsia="宋体"/>
          <w:sz w:val="28"/>
          <w:szCs w:val="28"/>
        </w:rPr>
      </w:pPr>
    </w:p>
    <w:p>
      <w:pPr>
        <w:jc w:val="left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四、商务要求：</w:t>
      </w:r>
    </w:p>
    <w:p>
      <w:pPr>
        <w:jc w:val="left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 xml:space="preserve"> </w:t>
      </w:r>
      <w:r>
        <w:rPr>
          <w:rFonts w:ascii="宋体" w:hAnsi="宋体" w:eastAsia="宋体"/>
          <w:sz w:val="28"/>
          <w:szCs w:val="28"/>
        </w:rPr>
        <w:t xml:space="preserve"> 1</w:t>
      </w:r>
      <w:r>
        <w:rPr>
          <w:rFonts w:hint="eastAsia" w:ascii="宋体" w:hAnsi="宋体" w:eastAsia="宋体"/>
          <w:sz w:val="28"/>
          <w:szCs w:val="28"/>
        </w:rPr>
        <w:t>、服务期：</w:t>
      </w:r>
      <w:r>
        <w:rPr>
          <w:rFonts w:ascii="宋体" w:hAnsi="宋体" w:eastAsia="宋体"/>
          <w:sz w:val="28"/>
          <w:szCs w:val="28"/>
        </w:rPr>
        <w:t>5</w:t>
      </w:r>
      <w:r>
        <w:rPr>
          <w:rFonts w:hint="eastAsia" w:ascii="宋体" w:hAnsi="宋体" w:eastAsia="宋体"/>
          <w:sz w:val="28"/>
          <w:szCs w:val="28"/>
        </w:rPr>
        <w:t>年，服务期过后每年收取维护费不高于项目金额的</w:t>
      </w:r>
      <w:r>
        <w:rPr>
          <w:rFonts w:ascii="宋体" w:hAnsi="宋体" w:eastAsia="宋体"/>
          <w:sz w:val="28"/>
          <w:szCs w:val="28"/>
        </w:rPr>
        <w:t>8%</w:t>
      </w:r>
      <w:r>
        <w:rPr>
          <w:rFonts w:hint="eastAsia" w:ascii="宋体" w:hAnsi="宋体" w:eastAsia="宋体"/>
          <w:sz w:val="28"/>
          <w:szCs w:val="28"/>
        </w:rPr>
        <w:t>。</w:t>
      </w:r>
    </w:p>
    <w:p>
      <w:pPr>
        <w:ind w:firstLine="280" w:firstLineChars="100"/>
        <w:jc w:val="left"/>
        <w:rPr>
          <w:rFonts w:ascii="宋体" w:hAnsi="宋体" w:eastAsia="宋体"/>
          <w:sz w:val="28"/>
          <w:szCs w:val="28"/>
        </w:rPr>
      </w:pPr>
      <w:r>
        <w:rPr>
          <w:rFonts w:ascii="宋体" w:hAnsi="宋体" w:eastAsia="宋体"/>
          <w:sz w:val="28"/>
          <w:szCs w:val="28"/>
        </w:rPr>
        <w:t>2</w:t>
      </w:r>
      <w:r>
        <w:rPr>
          <w:rFonts w:hint="eastAsia" w:ascii="宋体" w:hAnsi="宋体" w:eastAsia="宋体"/>
          <w:sz w:val="28"/>
          <w:szCs w:val="28"/>
        </w:rPr>
        <w:t>、支付方式：</w:t>
      </w:r>
    </w:p>
    <w:p>
      <w:pPr>
        <w:jc w:val="left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 xml:space="preserve"> </w:t>
      </w:r>
      <w:r>
        <w:rPr>
          <w:rFonts w:ascii="宋体" w:hAnsi="宋体" w:eastAsia="宋体"/>
          <w:sz w:val="28"/>
          <w:szCs w:val="28"/>
        </w:rPr>
        <w:t xml:space="preserve"> 2.1</w:t>
      </w:r>
      <w:r>
        <w:rPr>
          <w:rFonts w:hint="eastAsia" w:ascii="宋体" w:hAnsi="宋体" w:eastAsia="宋体"/>
          <w:sz w:val="28"/>
          <w:szCs w:val="28"/>
        </w:rPr>
        <w:t>签订合同后，支付项目金额3</w:t>
      </w:r>
      <w:r>
        <w:rPr>
          <w:rFonts w:ascii="宋体" w:hAnsi="宋体" w:eastAsia="宋体"/>
          <w:sz w:val="28"/>
          <w:szCs w:val="28"/>
        </w:rPr>
        <w:t>0%</w:t>
      </w:r>
      <w:r>
        <w:rPr>
          <w:rFonts w:hint="eastAsia" w:ascii="宋体" w:hAnsi="宋体" w:eastAsia="宋体"/>
          <w:sz w:val="28"/>
          <w:szCs w:val="28"/>
        </w:rPr>
        <w:t>作为预付款。</w:t>
      </w:r>
    </w:p>
    <w:p>
      <w:pPr>
        <w:jc w:val="left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 xml:space="preserve"> </w:t>
      </w:r>
      <w:r>
        <w:rPr>
          <w:rFonts w:ascii="宋体" w:hAnsi="宋体" w:eastAsia="宋体"/>
          <w:sz w:val="28"/>
          <w:szCs w:val="28"/>
        </w:rPr>
        <w:t xml:space="preserve"> 2.2</w:t>
      </w:r>
      <w:r>
        <w:rPr>
          <w:rFonts w:hint="eastAsia" w:ascii="宋体" w:hAnsi="宋体" w:eastAsia="宋体"/>
          <w:sz w:val="28"/>
          <w:szCs w:val="28"/>
        </w:rPr>
        <w:t>验收合格后，支付项目金额3</w:t>
      </w:r>
      <w:r>
        <w:rPr>
          <w:rFonts w:ascii="宋体" w:hAnsi="宋体" w:eastAsia="宋体"/>
          <w:sz w:val="28"/>
          <w:szCs w:val="28"/>
        </w:rPr>
        <w:t>0%.</w:t>
      </w:r>
    </w:p>
    <w:p>
      <w:pPr>
        <w:jc w:val="left"/>
        <w:rPr>
          <w:rFonts w:ascii="宋体" w:hAnsi="宋体" w:eastAsia="宋体"/>
          <w:sz w:val="28"/>
          <w:szCs w:val="28"/>
        </w:rPr>
      </w:pPr>
      <w:r>
        <w:rPr>
          <w:rFonts w:ascii="宋体" w:hAnsi="宋体" w:eastAsia="宋体"/>
          <w:sz w:val="28"/>
          <w:szCs w:val="28"/>
        </w:rPr>
        <w:t xml:space="preserve">  2.3</w:t>
      </w:r>
      <w:r>
        <w:rPr>
          <w:rFonts w:hint="eastAsia" w:ascii="宋体" w:hAnsi="宋体" w:eastAsia="宋体"/>
          <w:sz w:val="28"/>
          <w:szCs w:val="28"/>
        </w:rPr>
        <w:t>第二年开始，分四年支付，每年支付项目金额1</w:t>
      </w:r>
      <w:r>
        <w:rPr>
          <w:rFonts w:ascii="宋体" w:hAnsi="宋体" w:eastAsia="宋体"/>
          <w:sz w:val="28"/>
          <w:szCs w:val="28"/>
        </w:rPr>
        <w:t>0%</w:t>
      </w:r>
      <w:r>
        <w:rPr>
          <w:rFonts w:hint="eastAsia" w:ascii="宋体" w:hAnsi="宋体" w:eastAsia="宋体"/>
          <w:sz w:val="28"/>
          <w:szCs w:val="28"/>
        </w:rPr>
        <w:t>。</w:t>
      </w:r>
    </w:p>
    <w:p>
      <w:pPr>
        <w:jc w:val="left"/>
        <w:rPr>
          <w:rFonts w:ascii="宋体" w:hAnsi="宋体" w:eastAsia="宋体"/>
          <w:sz w:val="28"/>
          <w:szCs w:val="28"/>
        </w:rPr>
      </w:pPr>
    </w:p>
    <w:p>
      <w:pPr>
        <w:jc w:val="left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五、资格要求：著作权要求、同类业绩要求（主营业务要求是计算机软件开发相关。）</w:t>
      </w:r>
    </w:p>
    <w:p>
      <w:pPr>
        <w:jc w:val="left"/>
        <w:rPr>
          <w:rFonts w:ascii="宋体" w:hAnsi="宋体" w:eastAsia="宋体"/>
          <w:sz w:val="28"/>
          <w:szCs w:val="28"/>
        </w:rPr>
      </w:pPr>
    </w:p>
    <w:p>
      <w:pPr>
        <w:jc w:val="left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六、本项目专门向中小微企业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Kingsoft Confetti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Arial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Confetti">
    <w:panose1 w:val="05000100010000000000"/>
    <w:charset w:val="00"/>
    <w:family w:val="auto"/>
    <w:pitch w:val="default"/>
    <w:sig w:usb0="00000000" w:usb1="00000000" w:usb2="00000000" w:usb3="00000000" w:csb0="8000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等线">
    <w:altName w:val="汉仪中等线KW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汉仪中等线KW">
    <w:panose1 w:val="01010104010101010101"/>
    <w:charset w:val="86"/>
    <w:family w:val="auto"/>
    <w:pitch w:val="default"/>
    <w:sig w:usb0="800002BF" w:usb1="004F7CFA" w:usb2="00000000" w:usb3="00000000" w:csb0="00040001" w:csb1="00000000"/>
  </w:font>
  <w:font w:name="等线">
    <w:altName w:val="汉仪中等线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汉仪中等线KW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trackRevisions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KGWebUrl" w:val="http://10.2.240.65:8888/seeyon/officeservlet"/>
  </w:docVars>
  <w:rsids>
    <w:rsidRoot w:val="009C5652"/>
    <w:rsid w:val="00280A0D"/>
    <w:rsid w:val="003B6B26"/>
    <w:rsid w:val="004721AB"/>
    <w:rsid w:val="00544614"/>
    <w:rsid w:val="00686E6F"/>
    <w:rsid w:val="0073222F"/>
    <w:rsid w:val="008078C9"/>
    <w:rsid w:val="009C5652"/>
    <w:rsid w:val="009E4C9E"/>
    <w:rsid w:val="009F1B1A"/>
    <w:rsid w:val="00AE13F4"/>
    <w:rsid w:val="00D2050E"/>
    <w:rsid w:val="00DB0333"/>
    <w:rsid w:val="00E45DF4"/>
    <w:rsid w:val="00EC2F68"/>
    <w:rsid w:val="BCEF2C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